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宋体" w:hAnsi="宋体"/>
          <w:color w:val="auto"/>
          <w:highlight w:val="none"/>
        </w:rPr>
      </w:pPr>
      <w:r>
        <w:rPr>
          <w:rFonts w:hint="eastAsia" w:ascii="宋体" w:hAnsi="宋体"/>
          <w:b/>
          <w:color w:val="auto"/>
          <w:sz w:val="24"/>
          <w:highlight w:val="none"/>
        </w:rPr>
        <w:t>附件</w:t>
      </w:r>
      <w:r>
        <w:rPr>
          <w:rFonts w:ascii="宋体" w:hAnsi="宋体"/>
          <w:b/>
          <w:color w:val="auto"/>
          <w:sz w:val="24"/>
          <w:highlight w:val="none"/>
        </w:rPr>
        <w:t>2</w:t>
      </w:r>
      <w:r>
        <w:rPr>
          <w:rFonts w:hint="eastAsia" w:ascii="宋体" w:hAnsi="宋体"/>
          <w:b/>
          <w:color w:val="auto"/>
          <w:sz w:val="24"/>
          <w:highlight w:val="none"/>
        </w:rPr>
        <w:t>：</w:t>
      </w:r>
      <w:bookmarkStart w:id="0" w:name="_Toc502653406"/>
      <w:r>
        <w:rPr>
          <w:rFonts w:hint="eastAsia" w:ascii="宋体" w:hAnsi="宋体"/>
          <w:b/>
          <w:color w:val="auto"/>
          <w:sz w:val="24"/>
          <w:highlight w:val="none"/>
        </w:rPr>
        <w:t>评</w:t>
      </w:r>
      <w:r>
        <w:rPr>
          <w:rFonts w:ascii="宋体" w:hAnsi="宋体"/>
          <w:b/>
          <w:bCs/>
          <w:color w:val="auto"/>
          <w:sz w:val="24"/>
          <w:highlight w:val="none"/>
        </w:rPr>
        <w:t>标办法</w:t>
      </w:r>
      <w:bookmarkEnd w:id="0"/>
      <w:r>
        <w:rPr>
          <w:rFonts w:hint="eastAsia" w:ascii="宋体" w:hAnsi="宋体"/>
          <w:b/>
          <w:bCs/>
          <w:color w:val="auto"/>
          <w:sz w:val="24"/>
          <w:highlight w:val="none"/>
        </w:rPr>
        <w:t>前附表</w:t>
      </w:r>
    </w:p>
    <w:p>
      <w:pPr>
        <w:pStyle w:val="4"/>
        <w:spacing w:after="0" w:line="360" w:lineRule="auto"/>
        <w:jc w:val="center"/>
        <w:rPr>
          <w:rFonts w:ascii="宋体" w:hAnsi="宋体"/>
          <w:b/>
          <w:color w:val="auto"/>
          <w:sz w:val="24"/>
          <w:highlight w:val="none"/>
        </w:rPr>
      </w:pPr>
      <w:r>
        <w:rPr>
          <w:rFonts w:ascii="宋体" w:hAnsi="宋体"/>
          <w:b/>
          <w:color w:val="auto"/>
          <w:sz w:val="24"/>
          <w:highlight w:val="none"/>
        </w:rPr>
        <w:t>评标办法前附表</w:t>
      </w:r>
    </w:p>
    <w:tbl>
      <w:tblPr>
        <w:tblStyle w:val="8"/>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74"/>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466" w:type="pct"/>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37" w:type="pct"/>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3696" w:type="pct"/>
            <w:noWrap w:val="0"/>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3696" w:type="pct"/>
            <w:noWrap w:val="0"/>
            <w:vAlign w:val="center"/>
          </w:tcPr>
          <w:p>
            <w:pPr>
              <w:ind w:firstLine="420" w:firstLineChars="200"/>
              <w:rPr>
                <w:rFonts w:ascii="宋体" w:hAnsi="宋体"/>
                <w:color w:val="auto"/>
                <w:szCs w:val="21"/>
                <w:highlight w:val="none"/>
              </w:rPr>
            </w:pPr>
            <w:r>
              <w:rPr>
                <w:rFonts w:hint="eastAsia" w:ascii="宋体" w:hAnsi="宋体"/>
                <w:color w:val="auto"/>
                <w:highlight w:val="none"/>
              </w:rPr>
              <w:t>本次评标采用综合评估法。评标委员会对满足招标文件实质性要求的投标文件，按照本章第 2.2 款规定的评分标准进行打分，并按综合得分由高到低顺序推荐1-3名中标候选人。</w:t>
            </w:r>
            <w:r>
              <w:rPr>
                <w:rFonts w:hint="eastAsia" w:ascii="宋体" w:hAnsi="宋体"/>
                <w:color w:val="auto"/>
                <w:szCs w:val="21"/>
                <w:highlight w:val="none"/>
              </w:rPr>
              <w:t>综合评分相等时，评标委员会依次按照以下优先顺序推荐中标候选人：</w:t>
            </w:r>
          </w:p>
          <w:p>
            <w:pPr>
              <w:rPr>
                <w:rFonts w:ascii="宋体" w:hAnsi="宋体"/>
                <w:color w:val="auto"/>
                <w:szCs w:val="21"/>
                <w:highlight w:val="none"/>
              </w:rPr>
            </w:pPr>
            <w:r>
              <w:rPr>
                <w:rFonts w:hint="eastAsia" w:ascii="宋体" w:hAnsi="宋体"/>
                <w:color w:val="auto"/>
                <w:szCs w:val="21"/>
                <w:highlight w:val="none"/>
              </w:rPr>
              <w:t>（1）评标价低的投标人优先；</w:t>
            </w:r>
          </w:p>
          <w:p>
            <w:pPr>
              <w:rPr>
                <w:rFonts w:ascii="宋体" w:hAnsi="宋体"/>
                <w:color w:val="auto"/>
                <w:szCs w:val="21"/>
                <w:highlight w:val="none"/>
              </w:rPr>
            </w:pPr>
            <w:r>
              <w:rPr>
                <w:rFonts w:hint="eastAsia" w:ascii="宋体" w:hAnsi="宋体"/>
                <w:color w:val="auto"/>
                <w:szCs w:val="21"/>
                <w:highlight w:val="none"/>
              </w:rPr>
              <w:t>（2）承包人实施计划得分较高的投标人优先；</w:t>
            </w:r>
          </w:p>
          <w:p>
            <w:pPr>
              <w:rPr>
                <w:rFonts w:ascii="宋体" w:hAnsi="宋体"/>
                <w:color w:val="auto"/>
                <w:highlight w:val="none"/>
              </w:rPr>
            </w:pPr>
            <w:r>
              <w:rPr>
                <w:rFonts w:hint="eastAsia" w:ascii="宋体" w:hAnsi="宋体"/>
                <w:color w:val="auto"/>
                <w:szCs w:val="21"/>
                <w:highlight w:val="none"/>
              </w:rPr>
              <w:t>（3）满足资格审查条件（业绩最低要求）要求的业绩累计合同金额高的优先。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466" w:type="pct"/>
            <w:noWrap w:val="0"/>
            <w:vAlign w:val="center"/>
          </w:tcPr>
          <w:p>
            <w:pPr>
              <w:jc w:val="center"/>
              <w:rPr>
                <w:rFonts w:ascii="宋体" w:hAnsi="宋体" w:cs="宋体"/>
                <w:color w:val="auto"/>
                <w:szCs w:val="21"/>
                <w:highlight w:val="none"/>
              </w:rPr>
            </w:pPr>
            <w:r>
              <w:rPr>
                <w:rFonts w:ascii="宋体" w:hAnsi="宋体" w:cs="宋体"/>
                <w:color w:val="auto"/>
                <w:szCs w:val="21"/>
                <w:highlight w:val="none"/>
              </w:rPr>
              <w:t>2.1.1</w:t>
            </w:r>
          </w:p>
          <w:p>
            <w:pPr>
              <w:jc w:val="center"/>
              <w:rPr>
                <w:rFonts w:ascii="宋体" w:hAnsi="宋体" w:cs="宋体"/>
                <w:color w:val="auto"/>
                <w:szCs w:val="21"/>
                <w:highlight w:val="none"/>
              </w:rPr>
            </w:pPr>
            <w:r>
              <w:rPr>
                <w:rFonts w:ascii="宋体" w:hAnsi="宋体" w:cs="宋体"/>
                <w:color w:val="auto"/>
                <w:szCs w:val="21"/>
                <w:highlight w:val="none"/>
              </w:rPr>
              <w:t>2.1.3</w:t>
            </w:r>
          </w:p>
        </w:tc>
        <w:tc>
          <w:tcPr>
            <w:tcW w:w="837"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形式评审与响应性评审标准</w:t>
            </w:r>
          </w:p>
        </w:tc>
        <w:tc>
          <w:tcPr>
            <w:tcW w:w="3696" w:type="pct"/>
            <w:noWrap w:val="0"/>
            <w:vAlign w:val="top"/>
          </w:tcPr>
          <w:p>
            <w:pPr>
              <w:tabs>
                <w:tab w:val="left" w:pos="3060"/>
              </w:tabs>
              <w:snapToGrid w:val="0"/>
              <w:spacing w:line="276" w:lineRule="auto"/>
              <w:rPr>
                <w:rFonts w:ascii="宋体" w:hAnsi="宋体"/>
                <w:bCs/>
                <w:color w:val="auto"/>
                <w:szCs w:val="21"/>
                <w:highlight w:val="none"/>
              </w:rPr>
            </w:pPr>
            <w:r>
              <w:rPr>
                <w:rFonts w:hint="eastAsia" w:ascii="宋体" w:hAnsi="宋体"/>
                <w:bCs/>
                <w:color w:val="auto"/>
                <w:szCs w:val="21"/>
                <w:highlight w:val="none"/>
              </w:rPr>
              <w:t>第一个信封（投标文件明标部分）评审标准:</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（1）投标文件按照招标文件规定的格式、内容填写，字迹清晰可辨：</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a.投标函按招标文件规定填报了项目名称、补遗书编号（如有）、工程质量、安全目标、工期、</w:t>
            </w:r>
            <w:r>
              <w:rPr>
                <w:rFonts w:hint="eastAsia" w:ascii="宋体" w:hAnsi="宋体"/>
                <w:bCs/>
                <w:color w:val="auto"/>
                <w:szCs w:val="21"/>
                <w:highlight w:val="none"/>
                <w:lang w:eastAsia="zh-CN"/>
              </w:rPr>
              <w:t>项目经理（兼施工负责人）信息</w:t>
            </w:r>
            <w:r>
              <w:rPr>
                <w:rFonts w:hint="eastAsia" w:ascii="宋体" w:hAnsi="宋体"/>
                <w:bCs/>
                <w:color w:val="auto"/>
                <w:szCs w:val="21"/>
                <w:highlight w:val="none"/>
              </w:rPr>
              <w:t>；</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b.投标函附录的所有数据均符合招标文件规定；</w:t>
            </w:r>
          </w:p>
          <w:p>
            <w:pPr>
              <w:snapToGrid w:val="0"/>
              <w:spacing w:line="276" w:lineRule="auto"/>
              <w:ind w:firstLine="386" w:firstLineChars="184"/>
              <w:rPr>
                <w:rFonts w:ascii="宋体" w:hAnsi="宋体"/>
                <w:color w:val="auto"/>
                <w:highlight w:val="none"/>
              </w:rPr>
            </w:pPr>
            <w:r>
              <w:rPr>
                <w:rFonts w:hint="eastAsia" w:ascii="宋体" w:hAnsi="宋体"/>
                <w:bCs/>
                <w:color w:val="auto"/>
                <w:szCs w:val="21"/>
                <w:highlight w:val="none"/>
              </w:rPr>
              <w:t>c.投标文件组成齐全完整，内容均按规定填写。</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（2）投标文件上法定代表人或其授权代理人的签字、投标人的单位章盖章齐全，符合招标文件规定。</w:t>
            </w:r>
          </w:p>
          <w:p>
            <w:pPr>
              <w:spacing w:line="264" w:lineRule="auto"/>
              <w:ind w:firstLine="283" w:firstLineChars="135"/>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eastAsia="宋体" w:cs="宋体"/>
                <w:color w:val="auto"/>
                <w:szCs w:val="21"/>
                <w:highlight w:val="none"/>
                <w:lang w:bidi="ar"/>
              </w:rPr>
              <w:t>投标人按照招标文件</w:t>
            </w:r>
            <w:r>
              <w:rPr>
                <w:rFonts w:hint="eastAsia" w:ascii="宋体" w:hAnsi="宋体" w:eastAsia="宋体" w:cs="Times New Roman"/>
                <w:color w:val="auto"/>
                <w:highlight w:val="none"/>
              </w:rPr>
              <w:t>第二章“投标人须知”第</w:t>
            </w:r>
            <w:r>
              <w:rPr>
                <w:rFonts w:ascii="宋体" w:hAnsi="宋体" w:eastAsia="宋体" w:cs="Times New Roman"/>
                <w:color w:val="auto"/>
                <w:highlight w:val="none"/>
              </w:rPr>
              <w:t>3.4.1</w:t>
            </w:r>
            <w:r>
              <w:rPr>
                <w:rFonts w:hint="eastAsia" w:ascii="宋体" w:hAnsi="宋体" w:eastAsia="宋体" w:cs="Times New Roman"/>
                <w:color w:val="auto"/>
                <w:highlight w:val="none"/>
              </w:rPr>
              <w:t>项</w:t>
            </w:r>
            <w:r>
              <w:rPr>
                <w:rFonts w:hint="eastAsia" w:ascii="宋体" w:hAnsi="宋体" w:eastAsia="宋体" w:cs="宋体"/>
                <w:color w:val="auto"/>
                <w:szCs w:val="21"/>
                <w:highlight w:val="none"/>
                <w:lang w:bidi="ar"/>
              </w:rPr>
              <w:t>规定的金额、形式、时效和内容提供了投标保证金。</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（4）投标人法定代表人授权委托代理人签署投标文件的，</w:t>
            </w:r>
            <w:r>
              <w:rPr>
                <w:rFonts w:ascii="宋体" w:hAnsi="宋体"/>
                <w:bCs/>
                <w:color w:val="auto"/>
                <w:szCs w:val="21"/>
                <w:highlight w:val="none"/>
              </w:rPr>
              <w:t>须提交授权</w:t>
            </w:r>
            <w:r>
              <w:rPr>
                <w:rFonts w:hint="eastAsia" w:ascii="宋体" w:hAnsi="宋体"/>
                <w:bCs/>
                <w:color w:val="auto"/>
                <w:szCs w:val="21"/>
                <w:highlight w:val="none"/>
              </w:rPr>
              <w:t>委托书，授权委托书符合招标文件规定。</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投标人法定代表人亲自签署投标文件的，提供了法定代表人身份</w:t>
            </w:r>
            <w:r>
              <w:rPr>
                <w:rFonts w:hint="eastAsia" w:ascii="宋体" w:hAnsi="宋体"/>
                <w:bCs/>
                <w:color w:val="auto"/>
                <w:szCs w:val="21"/>
                <w:highlight w:val="none"/>
              </w:rPr>
              <w:t>证明，法定代表人身份证明符合招标文件规定。</w:t>
            </w:r>
          </w:p>
          <w:p>
            <w:pPr>
              <w:snapToGrid w:val="0"/>
              <w:spacing w:line="276" w:lineRule="auto"/>
              <w:ind w:firstLine="420" w:firstLineChars="200"/>
              <w:rPr>
                <w:rFonts w:ascii="宋体" w:hAnsi="宋体"/>
                <w:bCs/>
                <w:color w:val="auto"/>
                <w:szCs w:val="21"/>
                <w:highlight w:val="none"/>
              </w:rPr>
            </w:pPr>
            <w:r>
              <w:rPr>
                <w:rFonts w:hint="eastAsia" w:ascii="宋体" w:hAnsi="宋体"/>
                <w:bCs/>
                <w:color w:val="auto"/>
                <w:szCs w:val="21"/>
                <w:highlight w:val="none"/>
              </w:rPr>
              <w:t>（6）投标人以联合体形式投标时，联合体满足招标文件的要求：</w:t>
            </w:r>
          </w:p>
          <w:p>
            <w:pPr>
              <w:snapToGrid w:val="0"/>
              <w:spacing w:line="276" w:lineRule="auto"/>
              <w:ind w:firstLine="420" w:firstLineChars="200"/>
              <w:rPr>
                <w:rFonts w:ascii="宋体" w:hAnsi="宋体"/>
                <w:bCs/>
                <w:color w:val="auto"/>
                <w:szCs w:val="21"/>
                <w:highlight w:val="none"/>
              </w:rPr>
            </w:pPr>
            <w:r>
              <w:rPr>
                <w:rFonts w:hint="eastAsia" w:ascii="宋体" w:hAnsi="宋体"/>
                <w:bCs/>
                <w:color w:val="auto"/>
                <w:szCs w:val="21"/>
                <w:highlight w:val="none"/>
              </w:rPr>
              <w:t>投标人按照招标文件提供的格式和要求签订了联合体协议书，联合体成员</w:t>
            </w:r>
            <w:r>
              <w:rPr>
                <w:rFonts w:hint="eastAsia" w:ascii="宋体" w:hAnsi="宋体"/>
                <w:bCs/>
                <w:color w:val="auto"/>
                <w:szCs w:val="21"/>
                <w:highlight w:val="none"/>
                <w:lang w:eastAsia="zh-CN"/>
              </w:rPr>
              <w:t>不超过</w:t>
            </w:r>
            <w:r>
              <w:rPr>
                <w:rFonts w:hint="eastAsia" w:ascii="宋体" w:hAnsi="宋体"/>
                <w:bCs/>
                <w:color w:val="auto"/>
                <w:szCs w:val="21"/>
                <w:highlight w:val="none"/>
                <w:lang w:val="en-US" w:eastAsia="zh-CN"/>
              </w:rPr>
              <w:t>3</w:t>
            </w:r>
            <w:r>
              <w:rPr>
                <w:rFonts w:hint="eastAsia" w:ascii="宋体" w:hAnsi="宋体"/>
                <w:bCs/>
                <w:color w:val="auto"/>
                <w:szCs w:val="21"/>
                <w:highlight w:val="none"/>
                <w:lang w:eastAsia="zh-CN"/>
              </w:rPr>
              <w:t>家</w:t>
            </w:r>
            <w:r>
              <w:rPr>
                <w:rFonts w:hint="eastAsia" w:ascii="宋体" w:hAnsi="宋体"/>
                <w:bCs/>
                <w:color w:val="auto"/>
                <w:szCs w:val="21"/>
                <w:highlight w:val="none"/>
              </w:rPr>
              <w:t>，且明确各方承担连带责任，并明确了联合体牵头人。</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7</w:t>
            </w:r>
            <w:r>
              <w:rPr>
                <w:rFonts w:hint="eastAsia" w:ascii="宋体" w:hAnsi="宋体"/>
                <w:bCs/>
                <w:color w:val="auto"/>
                <w:szCs w:val="21"/>
                <w:highlight w:val="none"/>
              </w:rPr>
              <w:t>）同一投标人未提交两个以上不同的投标文件。</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8</w:t>
            </w:r>
            <w:r>
              <w:rPr>
                <w:rFonts w:hint="eastAsia" w:ascii="宋体" w:hAnsi="宋体"/>
                <w:bCs/>
                <w:color w:val="auto"/>
                <w:szCs w:val="21"/>
                <w:highlight w:val="none"/>
              </w:rPr>
              <w:t>）投标文件第一个信封中未出现有关投标报价的内容。</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9</w:t>
            </w:r>
            <w:r>
              <w:rPr>
                <w:rFonts w:hint="eastAsia" w:ascii="宋体" w:hAnsi="宋体"/>
                <w:bCs/>
                <w:color w:val="auto"/>
                <w:szCs w:val="21"/>
                <w:highlight w:val="none"/>
              </w:rPr>
              <w:t>）投标文件载明的招标项目完成期限，符合招标文件规定。</w:t>
            </w:r>
          </w:p>
          <w:p>
            <w:pPr>
              <w:snapToGrid w:val="0"/>
              <w:spacing w:line="276" w:lineRule="auto"/>
              <w:ind w:firstLine="386" w:firstLineChars="184"/>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0</w:t>
            </w:r>
            <w:r>
              <w:rPr>
                <w:rFonts w:hint="eastAsia" w:ascii="宋体" w:hAnsi="宋体"/>
                <w:bCs/>
                <w:color w:val="auto"/>
                <w:szCs w:val="21"/>
                <w:highlight w:val="none"/>
              </w:rPr>
              <w:t>）投标文件对招标文件的实质性要求和条件作出响应。</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1</w:t>
            </w:r>
            <w:r>
              <w:rPr>
                <w:rFonts w:hint="eastAsia" w:ascii="宋体" w:hAnsi="宋体"/>
                <w:bCs/>
                <w:color w:val="auto"/>
                <w:szCs w:val="21"/>
                <w:highlight w:val="none"/>
              </w:rPr>
              <w:t>）权利义务符合招标文件规定：</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a.投标人应接受招标文件规定的风险划分原则，未提出新的风险划分办法；</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b.投标人未增加发包人的责任范围，或减少投标人义务；</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c.投标人未提出不同的支付办法；</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d.投标人对合同纠纷、事故处理办法未提出异议；</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e.投标人在投标活动中无欺诈行为；</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f.投标人未对合同条款有重要保留。</w:t>
            </w:r>
          </w:p>
          <w:p>
            <w:pPr>
              <w:tabs>
                <w:tab w:val="left" w:pos="3060"/>
              </w:tabs>
              <w:snapToGrid w:val="0"/>
              <w:spacing w:line="276" w:lineRule="auto"/>
              <w:rPr>
                <w:rFonts w:ascii="宋体" w:hAnsi="宋体"/>
                <w:bCs/>
                <w:color w:val="auto"/>
                <w:szCs w:val="21"/>
                <w:highlight w:val="none"/>
              </w:rPr>
            </w:pPr>
            <w:r>
              <w:rPr>
                <w:rFonts w:hint="eastAsia" w:ascii="宋体" w:hAnsi="宋体"/>
                <w:bCs/>
                <w:color w:val="auto"/>
                <w:szCs w:val="21"/>
                <w:highlight w:val="none"/>
              </w:rPr>
              <w:t>第一个信封（投标文件暗标部分）评审标准:</w:t>
            </w:r>
          </w:p>
          <w:p>
            <w:pPr>
              <w:snapToGrid w:val="0"/>
              <w:spacing w:line="276" w:lineRule="auto"/>
              <w:ind w:firstLine="386" w:firstLineChars="184"/>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承包人建议书和承包人实施方案（暗标）</w:t>
            </w:r>
            <w:r>
              <w:rPr>
                <w:rFonts w:hint="eastAsia" w:ascii="宋体" w:hAnsi="宋体"/>
                <w:bCs/>
                <w:color w:val="auto"/>
                <w:szCs w:val="21"/>
                <w:highlight w:val="none"/>
                <w:lang w:val="en-US" w:eastAsia="zh-CN"/>
              </w:rPr>
              <w:t>编制</w:t>
            </w:r>
            <w:r>
              <w:rPr>
                <w:rFonts w:hint="eastAsia" w:ascii="宋体" w:hAnsi="宋体"/>
                <w:bCs/>
                <w:color w:val="auto"/>
                <w:szCs w:val="21"/>
                <w:highlight w:val="none"/>
              </w:rPr>
              <w:t>符合招标文件第二章“投标人须知”第</w:t>
            </w:r>
            <w:r>
              <w:rPr>
                <w:rFonts w:ascii="宋体" w:hAnsi="宋体"/>
                <w:bCs/>
                <w:color w:val="auto"/>
                <w:szCs w:val="21"/>
                <w:highlight w:val="none"/>
              </w:rPr>
              <w:t>9</w:t>
            </w:r>
            <w:r>
              <w:rPr>
                <w:rFonts w:hint="eastAsia" w:ascii="宋体" w:hAnsi="宋体"/>
                <w:bCs/>
                <w:color w:val="auto"/>
                <w:szCs w:val="21"/>
                <w:highlight w:val="none"/>
              </w:rPr>
              <w:t>.2款的规定。</w:t>
            </w:r>
          </w:p>
          <w:p>
            <w:pPr>
              <w:tabs>
                <w:tab w:val="left" w:pos="3060"/>
              </w:tabs>
              <w:snapToGrid w:val="0"/>
              <w:spacing w:line="276" w:lineRule="auto"/>
              <w:rPr>
                <w:rFonts w:ascii="宋体" w:hAnsi="宋体"/>
                <w:bCs/>
                <w:color w:val="auto"/>
                <w:szCs w:val="21"/>
                <w:highlight w:val="none"/>
              </w:rPr>
            </w:pPr>
            <w:r>
              <w:rPr>
                <w:rFonts w:hint="eastAsia" w:ascii="宋体" w:hAnsi="宋体"/>
                <w:bCs/>
                <w:color w:val="auto"/>
                <w:szCs w:val="21"/>
                <w:highlight w:val="none"/>
              </w:rPr>
              <w:t>第二个信封（报价文件）评审标准：</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（1）投标文件按照招标文件规定的格式、内容填写，字迹清晰可辨：</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a.投标函按招标文件规定填报了项目名称、补遗书编号（如有）、投标价（包括大写金额和小写金额）；</w:t>
            </w:r>
          </w:p>
          <w:p>
            <w:pPr>
              <w:snapToGrid w:val="0"/>
              <w:spacing w:line="276" w:lineRule="auto"/>
              <w:ind w:firstLine="386" w:firstLineChars="184"/>
              <w:rPr>
                <w:rFonts w:ascii="宋体" w:hAnsi="宋体"/>
                <w:bCs/>
                <w:color w:val="auto"/>
                <w:szCs w:val="21"/>
                <w:highlight w:val="none"/>
              </w:rPr>
            </w:pPr>
            <w:r>
              <w:rPr>
                <w:rFonts w:ascii="宋体" w:hAnsi="宋体"/>
                <w:bCs/>
                <w:color w:val="auto"/>
                <w:szCs w:val="21"/>
                <w:highlight w:val="none"/>
              </w:rPr>
              <w:t>b</w:t>
            </w:r>
            <w:r>
              <w:rPr>
                <w:rFonts w:hint="eastAsia" w:ascii="宋体" w:hAnsi="宋体"/>
                <w:bCs/>
                <w:color w:val="auto"/>
                <w:szCs w:val="21"/>
                <w:highlight w:val="none"/>
              </w:rPr>
              <w:t>.</w:t>
            </w:r>
            <w:r>
              <w:rPr>
                <w:rFonts w:hint="eastAsia" w:ascii="宋体" w:hAnsi="宋体" w:cs="宋体"/>
                <w:color w:val="auto"/>
                <w:kern w:val="2"/>
                <w:sz w:val="21"/>
                <w:szCs w:val="21"/>
                <w:highlight w:val="none"/>
                <w:lang w:val="en-US" w:eastAsia="zh-CN"/>
              </w:rPr>
              <w:t>价格</w:t>
            </w:r>
            <w:r>
              <w:rPr>
                <w:rFonts w:hint="eastAsia" w:ascii="宋体" w:hAnsi="宋体" w:cs="宋体"/>
                <w:color w:val="auto"/>
                <w:kern w:val="2"/>
                <w:sz w:val="21"/>
                <w:szCs w:val="21"/>
                <w:highlight w:val="none"/>
              </w:rPr>
              <w:t>清单说明文字与招标文件规定一致，</w:t>
            </w:r>
            <w:r>
              <w:rPr>
                <w:rFonts w:hint="eastAsia" w:ascii="宋体" w:hAnsi="宋体"/>
                <w:bCs/>
                <w:color w:val="auto"/>
                <w:szCs w:val="21"/>
                <w:highlight w:val="none"/>
              </w:rPr>
              <w:t>未进行实质性修改或删减；</w:t>
            </w:r>
          </w:p>
          <w:p>
            <w:pPr>
              <w:snapToGrid w:val="0"/>
              <w:spacing w:line="276" w:lineRule="auto"/>
              <w:ind w:firstLine="386" w:firstLineChars="184"/>
              <w:rPr>
                <w:rFonts w:ascii="宋体" w:hAnsi="宋体"/>
                <w:bCs/>
                <w:color w:val="auto"/>
                <w:szCs w:val="21"/>
                <w:highlight w:val="none"/>
              </w:rPr>
            </w:pPr>
            <w:r>
              <w:rPr>
                <w:rFonts w:ascii="宋体" w:hAnsi="宋体"/>
                <w:bCs/>
                <w:color w:val="auto"/>
                <w:szCs w:val="21"/>
                <w:highlight w:val="none"/>
              </w:rPr>
              <w:t>c</w:t>
            </w:r>
            <w:r>
              <w:rPr>
                <w:rFonts w:hint="eastAsia" w:ascii="宋体" w:hAnsi="宋体"/>
                <w:bCs/>
                <w:color w:val="auto"/>
                <w:szCs w:val="21"/>
                <w:highlight w:val="none"/>
              </w:rPr>
              <w:t>.投标文件组成齐全完整，内容均按规定填写。</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（2）投标文件上法定代表人或其授权代理人的签字、投标人的单位章盖章齐全，符合招标文件规定。</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（3）投标报价未超过招标文件设定的最高投标限价和各分项最高限价。</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（4）投标报价中的大写金额能够确定具体数值。</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（5）同一投标人未提交两个以上不同的投标报价。</w:t>
            </w:r>
          </w:p>
          <w:p>
            <w:pPr>
              <w:snapToGrid w:val="0"/>
              <w:spacing w:line="276" w:lineRule="auto"/>
              <w:ind w:firstLine="386" w:firstLineChars="184"/>
              <w:rPr>
                <w:rFonts w:ascii="宋体" w:hAnsi="宋体"/>
                <w:bCs/>
                <w:color w:val="auto"/>
                <w:szCs w:val="21"/>
                <w:highlight w:val="none"/>
              </w:rPr>
            </w:pPr>
            <w:r>
              <w:rPr>
                <w:rFonts w:hint="eastAsia" w:ascii="宋体" w:hAnsi="宋体"/>
                <w:bCs/>
                <w:color w:val="auto"/>
                <w:szCs w:val="21"/>
                <w:highlight w:val="none"/>
              </w:rPr>
              <w:t>（6）投标人未提交调价函。</w:t>
            </w:r>
          </w:p>
          <w:p>
            <w:pPr>
              <w:pStyle w:val="4"/>
              <w:snapToGrid w:val="0"/>
              <w:spacing w:after="0" w:line="276" w:lineRule="auto"/>
              <w:ind w:firstLine="420" w:firstLineChars="200"/>
              <w:rPr>
                <w:rFonts w:ascii="宋体" w:hAnsi="宋体"/>
                <w:bCs/>
                <w:color w:val="auto"/>
                <w:szCs w:val="21"/>
                <w:highlight w:val="none"/>
              </w:rPr>
            </w:pPr>
            <w:r>
              <w:rPr>
                <w:rFonts w:hint="eastAsia" w:ascii="宋体" w:hAnsi="宋体"/>
                <w:bCs/>
                <w:color w:val="auto"/>
                <w:szCs w:val="21"/>
                <w:highlight w:val="none"/>
              </w:rPr>
              <w:t>（7）价格清单中的投标报价和投标函大写金额报价一致。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2.1.2</w:t>
            </w:r>
          </w:p>
        </w:tc>
        <w:tc>
          <w:tcPr>
            <w:tcW w:w="837"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3696" w:type="pct"/>
            <w:noWrap w:val="0"/>
            <w:vAlign w:val="center"/>
          </w:tcPr>
          <w:p>
            <w:pPr>
              <w:snapToGrid w:val="0"/>
              <w:spacing w:line="276" w:lineRule="auto"/>
              <w:ind w:firstLine="386" w:firstLineChars="184"/>
              <w:jc w:val="left"/>
              <w:rPr>
                <w:rFonts w:ascii="宋体" w:hAnsi="宋体"/>
                <w:bCs/>
                <w:color w:val="auto"/>
                <w:szCs w:val="21"/>
                <w:highlight w:val="none"/>
              </w:rPr>
            </w:pPr>
            <w:r>
              <w:rPr>
                <w:rFonts w:hint="eastAsia" w:ascii="宋体" w:hAnsi="宋体"/>
                <w:color w:val="auto"/>
                <w:szCs w:val="21"/>
                <w:highlight w:val="none"/>
              </w:rPr>
              <w:t>（1）投标</w:t>
            </w:r>
            <w:r>
              <w:rPr>
                <w:rFonts w:hint="eastAsia" w:ascii="宋体" w:hAnsi="宋体"/>
                <w:bCs/>
                <w:color w:val="auto"/>
                <w:szCs w:val="21"/>
                <w:highlight w:val="none"/>
              </w:rPr>
              <w:t>人具备有效的营业执照、资质证书、安全生产许可证和基本账户开户许可证（或基本存款账户信息）。</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（2）投标人的资质等级符合招标文件规定。</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）投标人的业绩符合招标文件规定。</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）投标人的信誉符合招标文件规定。</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w:t>
            </w:r>
            <w:r>
              <w:rPr>
                <w:rFonts w:hint="eastAsia" w:ascii="宋体" w:hAnsi="宋体"/>
                <w:bCs/>
                <w:color w:val="auto"/>
                <w:szCs w:val="21"/>
                <w:highlight w:val="none"/>
                <w:lang w:eastAsia="zh-CN"/>
              </w:rPr>
              <w:t>投标人的项目经理（兼施工负责人）符合招标文件规定</w:t>
            </w:r>
            <w:r>
              <w:rPr>
                <w:rFonts w:hint="eastAsia" w:ascii="宋体" w:hAnsi="宋体"/>
                <w:bCs/>
                <w:color w:val="auto"/>
                <w:szCs w:val="21"/>
                <w:highlight w:val="none"/>
              </w:rPr>
              <w:t>。</w:t>
            </w:r>
          </w:p>
          <w:p>
            <w:pPr>
              <w:snapToGrid w:val="0"/>
              <w:spacing w:line="276" w:lineRule="auto"/>
              <w:ind w:firstLine="386" w:firstLineChars="184"/>
              <w:jc w:val="left"/>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）投标人不存在第二章“投标人须知”第 1.4.3 项或第 1.4.4 项或第1.4.</w:t>
            </w:r>
            <w:r>
              <w:rPr>
                <w:rFonts w:ascii="宋体" w:hAnsi="宋体"/>
                <w:bCs/>
                <w:color w:val="auto"/>
                <w:szCs w:val="21"/>
                <w:highlight w:val="none"/>
              </w:rPr>
              <w:t>5</w:t>
            </w:r>
            <w:r>
              <w:rPr>
                <w:rFonts w:hint="eastAsia" w:ascii="宋体" w:hAnsi="宋体"/>
                <w:bCs/>
                <w:color w:val="auto"/>
                <w:szCs w:val="21"/>
                <w:highlight w:val="none"/>
              </w:rPr>
              <w:t>项规定的任何一种情形。</w:t>
            </w:r>
          </w:p>
          <w:p>
            <w:pPr>
              <w:snapToGrid w:val="0"/>
              <w:spacing w:line="276" w:lineRule="auto"/>
              <w:ind w:firstLine="386" w:firstLineChars="184"/>
              <w:rPr>
                <w:rFonts w:ascii="宋体" w:hAnsi="宋体"/>
                <w:color w:val="auto"/>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7</w:t>
            </w:r>
            <w:r>
              <w:rPr>
                <w:rFonts w:hint="eastAsia" w:ascii="宋体" w:hAnsi="宋体"/>
                <w:bCs/>
                <w:color w:val="auto"/>
                <w:szCs w:val="21"/>
                <w:highlight w:val="none"/>
              </w:rPr>
              <w:t>）以联合体形式参加投标的，联合体各方均未再以自己名义单独或参加其他联合体的投标；独立参与投标的，投标人</w:t>
            </w:r>
            <w:r>
              <w:rPr>
                <w:rFonts w:hint="eastAsia" w:ascii="宋体" w:hAnsi="宋体"/>
                <w:color w:val="auto"/>
                <w:highlight w:val="none"/>
              </w:rPr>
              <w:t>未同时参加联合体投标</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2.2.1</w:t>
            </w:r>
          </w:p>
        </w:tc>
        <w:tc>
          <w:tcPr>
            <w:tcW w:w="837" w:type="pct"/>
            <w:noWrap w:val="0"/>
            <w:vAlign w:val="center"/>
          </w:tcPr>
          <w:p>
            <w:pPr>
              <w:jc w:val="center"/>
              <w:rPr>
                <w:rFonts w:ascii="宋体" w:hAnsi="宋体" w:cs="宋体"/>
                <w:color w:val="auto"/>
                <w:szCs w:val="21"/>
                <w:highlight w:val="none"/>
              </w:rPr>
            </w:pPr>
            <w:r>
              <w:rPr>
                <w:rFonts w:hint="eastAsia" w:ascii="宋体" w:hAnsi="宋体"/>
                <w:color w:val="auto"/>
                <w:highlight w:val="none"/>
              </w:rPr>
              <w:t>分值构成（总分值100分）</w:t>
            </w:r>
          </w:p>
        </w:tc>
        <w:tc>
          <w:tcPr>
            <w:tcW w:w="3696" w:type="pct"/>
            <w:noWrap w:val="0"/>
            <w:vAlign w:val="center"/>
          </w:tcPr>
          <w:p>
            <w:pPr>
              <w:rPr>
                <w:rFonts w:ascii="宋体" w:hAnsi="宋体"/>
                <w:b/>
                <w:color w:val="auto"/>
                <w:szCs w:val="21"/>
                <w:highlight w:val="none"/>
              </w:rPr>
            </w:pPr>
            <w:r>
              <w:rPr>
                <w:rFonts w:hint="eastAsia" w:ascii="宋体" w:hAnsi="宋体"/>
                <w:b/>
                <w:color w:val="auto"/>
                <w:szCs w:val="21"/>
                <w:highlight w:val="none"/>
              </w:rPr>
              <w:t>第一个信封（商务及技术文件）评分分值构成：</w:t>
            </w:r>
          </w:p>
          <w:p>
            <w:pPr>
              <w:spacing w:line="286" w:lineRule="exact"/>
              <w:ind w:firstLine="386" w:firstLineChars="184"/>
              <w:jc w:val="left"/>
              <w:rPr>
                <w:rFonts w:ascii="宋体" w:hAnsi="宋体"/>
                <w:bCs/>
                <w:color w:val="auto"/>
                <w:szCs w:val="21"/>
                <w:highlight w:val="none"/>
              </w:rPr>
            </w:pPr>
            <w:r>
              <w:rPr>
                <w:rFonts w:hint="eastAsia" w:ascii="宋体" w:hAnsi="宋体"/>
                <w:bCs/>
                <w:color w:val="auto"/>
                <w:szCs w:val="21"/>
                <w:highlight w:val="none"/>
              </w:rPr>
              <w:t>承包人建议书</w:t>
            </w:r>
            <w:r>
              <w:rPr>
                <w:rFonts w:hint="eastAsia" w:ascii="宋体" w:hAnsi="宋体"/>
                <w:color w:val="auto"/>
                <w:szCs w:val="21"/>
                <w:highlight w:val="none"/>
              </w:rPr>
              <w:t xml:space="preserve"> ： </w:t>
            </w:r>
            <w:r>
              <w:rPr>
                <w:rFonts w:ascii="宋体" w:hAnsi="宋体"/>
                <w:color w:val="auto"/>
                <w:szCs w:val="21"/>
                <w:highlight w:val="none"/>
                <w:u w:val="single"/>
              </w:rPr>
              <w:t>15</w:t>
            </w:r>
            <w:r>
              <w:rPr>
                <w:rFonts w:ascii="宋体" w:hAnsi="宋体"/>
                <w:color w:val="auto"/>
                <w:szCs w:val="21"/>
                <w:highlight w:val="none"/>
              </w:rPr>
              <w:t>分</w:t>
            </w:r>
            <w:r>
              <w:rPr>
                <w:rFonts w:hint="eastAsia" w:ascii="宋体" w:hAnsi="宋体"/>
                <w:color w:val="auto"/>
                <w:szCs w:val="21"/>
                <w:highlight w:val="none"/>
              </w:rPr>
              <w:t xml:space="preserve"> </w:t>
            </w:r>
          </w:p>
          <w:p>
            <w:pPr>
              <w:spacing w:line="286" w:lineRule="exact"/>
              <w:ind w:firstLine="386" w:firstLineChars="184"/>
              <w:jc w:val="left"/>
              <w:rPr>
                <w:rFonts w:ascii="宋体" w:hAnsi="宋体"/>
                <w:color w:val="auto"/>
                <w:szCs w:val="21"/>
                <w:highlight w:val="none"/>
              </w:rPr>
            </w:pPr>
            <w:r>
              <w:rPr>
                <w:rFonts w:hint="eastAsia" w:ascii="宋体" w:hAnsi="宋体"/>
                <w:bCs/>
                <w:color w:val="auto"/>
                <w:szCs w:val="21"/>
                <w:highlight w:val="none"/>
              </w:rPr>
              <w:t>承包人实施计划</w:t>
            </w:r>
            <w:r>
              <w:rPr>
                <w:rFonts w:hint="eastAsia" w:ascii="宋体" w:hAnsi="宋体"/>
                <w:color w:val="auto"/>
                <w:szCs w:val="21"/>
                <w:highlight w:val="none"/>
              </w:rPr>
              <w:t>：</w:t>
            </w:r>
            <w:r>
              <w:rPr>
                <w:rFonts w:ascii="宋体" w:hAnsi="宋体"/>
                <w:color w:val="auto"/>
                <w:szCs w:val="21"/>
                <w:highlight w:val="none"/>
                <w:u w:val="single"/>
              </w:rPr>
              <w:t>2</w:t>
            </w:r>
            <w:r>
              <w:rPr>
                <w:rFonts w:hint="eastAsia" w:ascii="宋体" w:hAnsi="宋体"/>
                <w:color w:val="auto"/>
                <w:szCs w:val="21"/>
                <w:highlight w:val="none"/>
                <w:u w:val="single"/>
                <w:lang w:val="en-US" w:eastAsia="zh-CN"/>
              </w:rPr>
              <w:t>0</w:t>
            </w:r>
            <w:r>
              <w:rPr>
                <w:rFonts w:ascii="宋体" w:hAnsi="宋体"/>
                <w:color w:val="auto"/>
                <w:szCs w:val="21"/>
                <w:highlight w:val="none"/>
              </w:rPr>
              <w:t>分</w:t>
            </w:r>
          </w:p>
          <w:p>
            <w:pPr>
              <w:spacing w:line="286" w:lineRule="exact"/>
              <w:ind w:firstLine="386" w:firstLineChars="184"/>
              <w:jc w:val="left"/>
              <w:rPr>
                <w:rFonts w:ascii="宋体" w:hAnsi="宋体"/>
                <w:color w:val="auto"/>
                <w:szCs w:val="21"/>
                <w:highlight w:val="none"/>
              </w:rPr>
            </w:pPr>
            <w:r>
              <w:rPr>
                <w:rFonts w:hint="eastAsia" w:ascii="宋体" w:hAnsi="宋体"/>
                <w:color w:val="auto"/>
                <w:szCs w:val="21"/>
                <w:highlight w:val="none"/>
              </w:rPr>
              <w:t xml:space="preserve">项目管理机构：  </w:t>
            </w:r>
            <w:r>
              <w:rPr>
                <w:rFonts w:ascii="宋体" w:hAnsi="宋体"/>
                <w:color w:val="auto"/>
                <w:szCs w:val="21"/>
                <w:highlight w:val="none"/>
                <w:u w:val="single"/>
              </w:rPr>
              <w:t>5</w:t>
            </w:r>
            <w:r>
              <w:rPr>
                <w:rFonts w:ascii="宋体" w:hAnsi="宋体"/>
                <w:color w:val="auto"/>
                <w:szCs w:val="21"/>
                <w:highlight w:val="none"/>
              </w:rPr>
              <w:t>分</w:t>
            </w:r>
          </w:p>
          <w:p>
            <w:pPr>
              <w:spacing w:line="286" w:lineRule="exact"/>
              <w:ind w:firstLine="386" w:firstLineChars="184"/>
              <w:jc w:val="left"/>
              <w:rPr>
                <w:rFonts w:hint="eastAsia" w:ascii="宋体" w:hAnsi="宋体"/>
                <w:color w:val="auto"/>
                <w:szCs w:val="21"/>
                <w:highlight w:val="none"/>
              </w:rPr>
            </w:pPr>
            <w:r>
              <w:rPr>
                <w:rFonts w:hint="eastAsia" w:ascii="宋体" w:hAnsi="宋体"/>
                <w:color w:val="auto"/>
                <w:szCs w:val="21"/>
                <w:highlight w:val="none"/>
              </w:rPr>
              <w:t xml:space="preserve">业绩： </w:t>
            </w:r>
            <w:r>
              <w:rPr>
                <w:rFonts w:ascii="宋体" w:hAnsi="宋体"/>
                <w:color w:val="auto"/>
                <w:szCs w:val="21"/>
                <w:highlight w:val="none"/>
              </w:rPr>
              <w:t xml:space="preserve">         </w:t>
            </w:r>
            <w:r>
              <w:rPr>
                <w:rFonts w:hint="eastAsia" w:ascii="宋体" w:hAnsi="宋体"/>
                <w:color w:val="auto"/>
                <w:szCs w:val="21"/>
                <w:highlight w:val="none"/>
                <w:u w:val="single"/>
                <w:lang w:val="en-US" w:eastAsia="zh-CN"/>
              </w:rPr>
              <w:t>10</w:t>
            </w:r>
            <w:r>
              <w:rPr>
                <w:rFonts w:ascii="宋体" w:hAnsi="宋体"/>
                <w:color w:val="auto"/>
                <w:szCs w:val="21"/>
                <w:highlight w:val="none"/>
              </w:rPr>
              <w:t>分</w:t>
            </w:r>
          </w:p>
          <w:p>
            <w:pPr>
              <w:rPr>
                <w:rFonts w:ascii="宋体" w:hAnsi="宋体"/>
                <w:b/>
                <w:color w:val="auto"/>
                <w:szCs w:val="21"/>
                <w:highlight w:val="none"/>
              </w:rPr>
            </w:pPr>
            <w:r>
              <w:rPr>
                <w:rFonts w:hint="eastAsia" w:ascii="宋体" w:hAnsi="宋体"/>
                <w:b/>
                <w:color w:val="auto"/>
                <w:szCs w:val="21"/>
                <w:highlight w:val="none"/>
              </w:rPr>
              <w:t>第二个信封（报价文件）评分分值构成：</w:t>
            </w:r>
          </w:p>
          <w:p>
            <w:pPr>
              <w:spacing w:line="286" w:lineRule="exact"/>
              <w:ind w:firstLine="386" w:firstLineChars="184"/>
              <w:jc w:val="left"/>
              <w:rPr>
                <w:rFonts w:ascii="宋体" w:hAnsi="宋体"/>
                <w:color w:val="auto"/>
                <w:highlight w:val="none"/>
              </w:rPr>
            </w:pPr>
            <w:r>
              <w:rPr>
                <w:rFonts w:hint="eastAsia" w:ascii="宋体" w:hAnsi="宋体"/>
                <w:color w:val="auto"/>
                <w:szCs w:val="21"/>
                <w:highlight w:val="none"/>
              </w:rPr>
              <w:t>评标价</w:t>
            </w:r>
            <w:r>
              <w:rPr>
                <w:rFonts w:ascii="宋体" w:hAnsi="宋体"/>
                <w:color w:val="auto"/>
                <w:szCs w:val="21"/>
                <w:highlight w:val="none"/>
              </w:rPr>
              <w:t>：</w:t>
            </w:r>
            <w:r>
              <w:rPr>
                <w:rFonts w:hint="eastAsia" w:ascii="宋体" w:hAnsi="宋体"/>
                <w:color w:val="auto"/>
                <w:szCs w:val="21"/>
                <w:highlight w:val="none"/>
                <w:u w:val="single"/>
              </w:rPr>
              <w:t>5</w:t>
            </w:r>
            <w:r>
              <w:rPr>
                <w:rFonts w:ascii="宋体" w:hAnsi="宋体"/>
                <w:color w:val="auto"/>
                <w:szCs w:val="21"/>
                <w:highlight w:val="none"/>
                <w:u w:val="single"/>
              </w:rPr>
              <w:t xml:space="preserve">0 </w:t>
            </w:r>
            <w:r>
              <w:rPr>
                <w:rFonts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.2.2</w:t>
            </w:r>
          </w:p>
        </w:tc>
        <w:tc>
          <w:tcPr>
            <w:tcW w:w="837" w:type="pct"/>
            <w:noWrap w:val="0"/>
            <w:vAlign w:val="center"/>
          </w:tcPr>
          <w:p>
            <w:pPr>
              <w:adjustRightInd w:val="0"/>
              <w:snapToGrid w:val="0"/>
              <w:spacing w:line="276" w:lineRule="auto"/>
              <w:jc w:val="center"/>
              <w:rPr>
                <w:rFonts w:ascii="宋体" w:hAnsi="宋体"/>
                <w:color w:val="auto"/>
                <w:highlight w:val="none"/>
              </w:rPr>
            </w:pPr>
            <w:r>
              <w:rPr>
                <w:rFonts w:hint="eastAsia" w:ascii="宋体" w:hAnsi="宋体"/>
                <w:color w:val="auto"/>
                <w:highlight w:val="none"/>
              </w:rPr>
              <w:t>评标基准价计算方法</w:t>
            </w:r>
          </w:p>
        </w:tc>
        <w:tc>
          <w:tcPr>
            <w:tcW w:w="3696" w:type="pct"/>
            <w:noWrap w:val="0"/>
            <w:vAlign w:val="center"/>
          </w:tcPr>
          <w:p>
            <w:pPr>
              <w:spacing w:line="288" w:lineRule="auto"/>
              <w:ind w:right="113" w:firstLine="315" w:firstLineChars="15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评标价的确定：</w:t>
            </w:r>
          </w:p>
          <w:p>
            <w:pPr>
              <w:spacing w:line="288" w:lineRule="auto"/>
              <w:ind w:right="113" w:firstLine="315" w:firstLineChars="150"/>
              <w:jc w:val="left"/>
              <w:rPr>
                <w:rFonts w:hint="eastAsia" w:ascii="宋体" w:hAnsi="宋体"/>
                <w:color w:val="auto"/>
                <w:szCs w:val="21"/>
                <w:highlight w:val="none"/>
              </w:rPr>
            </w:pPr>
            <w:r>
              <w:rPr>
                <w:rFonts w:hint="eastAsia" w:ascii="宋体" w:hAnsi="宋体"/>
                <w:color w:val="auto"/>
                <w:szCs w:val="21"/>
                <w:highlight w:val="none"/>
              </w:rPr>
              <w:t>评标价=投标函文字报价</w:t>
            </w:r>
          </w:p>
          <w:p>
            <w:pPr>
              <w:spacing w:line="288" w:lineRule="auto"/>
              <w:ind w:right="113" w:firstLine="315" w:firstLineChars="15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评标价平均值的计算：</w:t>
            </w:r>
          </w:p>
          <w:p>
            <w:pPr>
              <w:spacing w:line="288" w:lineRule="auto"/>
              <w:ind w:right="113" w:firstLine="315" w:firstLineChars="150"/>
              <w:jc w:val="left"/>
              <w:rPr>
                <w:rFonts w:hint="eastAsia" w:ascii="宋体" w:hAnsi="宋体"/>
                <w:color w:val="auto"/>
                <w:szCs w:val="21"/>
                <w:highlight w:val="none"/>
              </w:rPr>
            </w:pPr>
            <w:r>
              <w:rPr>
                <w:rFonts w:hint="eastAsia" w:ascii="宋体" w:hAnsi="宋体" w:cs="宋体"/>
                <w:color w:val="auto"/>
                <w:szCs w:val="21"/>
                <w:highlight w:val="none"/>
              </w:rPr>
              <w:t>除按第二章“投标人须知”第5.2.3项规定开标现场被宣布为不进入评标基准价计算的投标报价之外，所有投标人的评标价</w:t>
            </w:r>
            <w:r>
              <w:rPr>
                <w:rFonts w:hint="eastAsia" w:ascii="宋体" w:hAnsi="宋体"/>
                <w:color w:val="auto"/>
                <w:szCs w:val="21"/>
                <w:highlight w:val="none"/>
              </w:rPr>
              <w:t>去掉一个最高值和一个最低值后的算术平均值即为评标价平均值（如果参与评标价平均值计算的有效投标人少于5家时，则计算评标价平均值时不去掉最高值和最低值）。</w:t>
            </w:r>
          </w:p>
          <w:p>
            <w:pPr>
              <w:spacing w:line="288" w:lineRule="auto"/>
              <w:ind w:right="113" w:firstLine="315" w:firstLineChars="15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评标基准价的确定：</w:t>
            </w:r>
          </w:p>
          <w:p>
            <w:pPr>
              <w:spacing w:line="288" w:lineRule="auto"/>
              <w:ind w:right="113" w:firstLine="315" w:firstLineChars="150"/>
              <w:jc w:val="left"/>
              <w:rPr>
                <w:rFonts w:hint="eastAsia" w:ascii="宋体" w:hAnsi="宋体"/>
                <w:color w:val="auto"/>
                <w:szCs w:val="21"/>
                <w:highlight w:val="none"/>
              </w:rPr>
            </w:pPr>
            <w:r>
              <w:rPr>
                <w:rFonts w:hint="eastAsia" w:ascii="宋体" w:hAnsi="宋体"/>
                <w:color w:val="auto"/>
                <w:szCs w:val="21"/>
                <w:highlight w:val="none"/>
              </w:rPr>
              <w:t>将评标价平均值直接作为评标基准价，保留两位小数。</w:t>
            </w:r>
          </w:p>
          <w:p>
            <w:pPr>
              <w:spacing w:line="288" w:lineRule="auto"/>
              <w:ind w:right="113" w:rightChars="0" w:firstLine="315" w:firstLineChars="150"/>
              <w:jc w:val="left"/>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66" w:type="pct"/>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2.2.3</w:t>
            </w:r>
          </w:p>
        </w:tc>
        <w:tc>
          <w:tcPr>
            <w:tcW w:w="837" w:type="pc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评标价</w:t>
            </w:r>
            <w:r>
              <w:rPr>
                <w:rFonts w:ascii="宋体" w:hAnsi="宋体"/>
                <w:color w:val="auto"/>
                <w:szCs w:val="21"/>
                <w:highlight w:val="none"/>
              </w:rPr>
              <w:t>的偏差率</w:t>
            </w:r>
            <w:r>
              <w:rPr>
                <w:rFonts w:hint="eastAsia" w:ascii="宋体" w:hAnsi="宋体"/>
                <w:color w:val="auto"/>
                <w:szCs w:val="21"/>
                <w:highlight w:val="none"/>
              </w:rPr>
              <w:t>计算公式</w:t>
            </w:r>
          </w:p>
        </w:tc>
        <w:tc>
          <w:tcPr>
            <w:tcW w:w="3696" w:type="pct"/>
            <w:noWrap w:val="0"/>
            <w:vAlign w:val="center"/>
          </w:tcPr>
          <w:p>
            <w:pPr>
              <w:adjustRightInd w:val="0"/>
              <w:snapToGrid w:val="0"/>
              <w:spacing w:line="300" w:lineRule="exact"/>
              <w:rPr>
                <w:rFonts w:ascii="宋体" w:hAnsi="宋体"/>
                <w:color w:val="auto"/>
                <w:kern w:val="2"/>
                <w:sz w:val="21"/>
                <w:szCs w:val="21"/>
                <w:highlight w:val="none"/>
                <w:lang w:val="en-US" w:eastAsia="zh-CN" w:bidi="ar-SA"/>
              </w:rPr>
            </w:pPr>
            <w:r>
              <w:rPr>
                <w:rFonts w:hint="eastAsia" w:ascii="宋体" w:hAnsi="宋体"/>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66" w:type="pct"/>
            <w:noWrap w:val="0"/>
            <w:vAlign w:val="center"/>
          </w:tcPr>
          <w:p>
            <w:pPr>
              <w:jc w:val="center"/>
              <w:rPr>
                <w:rFonts w:hint="eastAsia" w:ascii="宋体" w:hAnsi="宋体" w:cs="宋体"/>
                <w:color w:val="auto"/>
                <w:szCs w:val="21"/>
                <w:highlight w:val="none"/>
              </w:rPr>
            </w:pPr>
            <w:r>
              <w:rPr>
                <w:rFonts w:hint="eastAsia" w:ascii="宋体" w:hAnsi="宋体" w:eastAsia="宋体" w:cs="Times New Roman"/>
                <w:color w:val="auto"/>
                <w:szCs w:val="21"/>
                <w:highlight w:val="none"/>
              </w:rPr>
              <w:t>3</w:t>
            </w:r>
          </w:p>
        </w:tc>
        <w:tc>
          <w:tcPr>
            <w:tcW w:w="837" w:type="pct"/>
            <w:noWrap w:val="0"/>
            <w:vAlign w:val="center"/>
          </w:tcPr>
          <w:p>
            <w:pPr>
              <w:spacing w:line="320" w:lineRule="exact"/>
              <w:jc w:val="center"/>
              <w:rPr>
                <w:rFonts w:hint="eastAsia" w:ascii="宋体" w:hAnsi="宋体"/>
                <w:color w:val="auto"/>
                <w:szCs w:val="21"/>
                <w:highlight w:val="none"/>
              </w:rPr>
            </w:pPr>
            <w:r>
              <w:rPr>
                <w:rFonts w:hint="eastAsia" w:ascii="宋体" w:hAnsi="宋体"/>
                <w:color w:val="auto"/>
                <w:szCs w:val="21"/>
                <w:highlight w:val="none"/>
              </w:rPr>
              <w:t>评标程序</w:t>
            </w:r>
          </w:p>
        </w:tc>
        <w:tc>
          <w:tcPr>
            <w:tcW w:w="3696" w:type="pct"/>
            <w:noWrap w:val="0"/>
            <w:vAlign w:val="center"/>
          </w:tcPr>
          <w:p>
            <w:pPr>
              <w:tabs>
                <w:tab w:val="left" w:pos="3060"/>
              </w:tabs>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本款修改为：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 评标程序</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3.1 第一个信封初步评审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3.2 第一个信封详细评审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3.2.1 评标委员会按本章第 2.2 款规定的量化因素和分值进行打分，并计算出各投标人的商务和技术得分。</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（1）按本章第2.2.4（1）目规定的评审因素和分值对承包人建议书计算出得分A；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（2）按本章第2.2.4（2）目规定的评审因素和分值对承包人实施计划计算出得分B；</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）按本章第2.2.4（</w:t>
            </w:r>
            <w:r>
              <w:rPr>
                <w:rFonts w:ascii="宋体" w:hAnsi="宋体"/>
                <w:color w:val="auto"/>
                <w:szCs w:val="21"/>
                <w:highlight w:val="none"/>
              </w:rPr>
              <w:t>3</w:t>
            </w:r>
            <w:r>
              <w:rPr>
                <w:rFonts w:hint="eastAsia" w:ascii="宋体" w:hAnsi="宋体"/>
                <w:color w:val="auto"/>
                <w:szCs w:val="21"/>
                <w:highlight w:val="none"/>
              </w:rPr>
              <w:t>）目规定的评审因素和分值对项目管理机构部分计算出得分</w:t>
            </w:r>
            <w:r>
              <w:rPr>
                <w:rFonts w:ascii="宋体" w:hAnsi="宋体"/>
                <w:color w:val="auto"/>
                <w:szCs w:val="21"/>
                <w:highlight w:val="none"/>
              </w:rPr>
              <w:t>C</w:t>
            </w:r>
            <w:r>
              <w:rPr>
                <w:rFonts w:hint="eastAsia" w:ascii="宋体" w:hAnsi="宋体"/>
                <w:color w:val="auto"/>
                <w:szCs w:val="21"/>
                <w:highlight w:val="none"/>
              </w:rPr>
              <w:t>；</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）按本章第2.2.4（</w:t>
            </w:r>
            <w:r>
              <w:rPr>
                <w:rFonts w:ascii="宋体" w:hAnsi="宋体"/>
                <w:color w:val="auto"/>
                <w:szCs w:val="21"/>
                <w:highlight w:val="none"/>
              </w:rPr>
              <w:t>4</w:t>
            </w:r>
            <w:r>
              <w:rPr>
                <w:rFonts w:hint="eastAsia" w:ascii="宋体" w:hAnsi="宋体"/>
                <w:color w:val="auto"/>
                <w:szCs w:val="21"/>
                <w:highlight w:val="none"/>
              </w:rPr>
              <w:t>）目规定的评审因素和分值对业绩计算出得分</w:t>
            </w:r>
            <w:r>
              <w:rPr>
                <w:rFonts w:ascii="宋体" w:hAnsi="宋体"/>
                <w:color w:val="auto"/>
                <w:szCs w:val="21"/>
                <w:highlight w:val="none"/>
              </w:rPr>
              <w:t>D</w:t>
            </w:r>
            <w:r>
              <w:rPr>
                <w:rFonts w:hint="eastAsia" w:ascii="宋体" w:hAnsi="宋体"/>
                <w:color w:val="auto"/>
                <w:szCs w:val="21"/>
                <w:highlight w:val="none"/>
              </w:rPr>
              <w:t>；</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3.2.2 投标人的商务和技术得分分值计算保留小数点后两位，小数点后第三位 “四舍五入”。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3.2.3 投标人的商务和技术得分= A+B+</w:t>
            </w:r>
            <w:r>
              <w:rPr>
                <w:rFonts w:ascii="宋体" w:hAnsi="宋体"/>
                <w:color w:val="auto"/>
                <w:szCs w:val="21"/>
                <w:highlight w:val="none"/>
              </w:rPr>
              <w:t>C+D</w:t>
            </w:r>
            <w:r>
              <w:rPr>
                <w:rFonts w:hint="eastAsia" w:ascii="宋体" w:hAnsi="宋体"/>
                <w:color w:val="auto"/>
                <w:szCs w:val="21"/>
                <w:highlight w:val="none"/>
              </w:rPr>
              <w:t>。</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3.3 第二个信封开标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第一个信封（商务及技术文件）评审结束后，招标人将按照第二章“投标人须知”第 5.1 款规定的时间和地点对通过投标文件第一个信封（商务及技术文件）评审的投标文件第二个信封（报价文件）进行开标。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3.4 第二个信封初步评审</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3.4.1 评标委员会依据本章第 2.1.1 项、第 2.1.3 项规定的评审标准对投标文件第二个信封（报价文件）进行初步评审。有一项不符合评审标准的，评标委员会应否决其投标。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r>
              <w:rPr>
                <w:rFonts w:hint="eastAsia" w:ascii="宋体" w:hAnsi="宋体"/>
                <w:color w:val="auto"/>
                <w:szCs w:val="21"/>
                <w:highlight w:val="none"/>
              </w:rPr>
              <w:t>.2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（1）投标文件中的大写金额与小写金额不一致的，以大写金额为准，修正小写。</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3.5 第二个信封详细评审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3.5.1 评标委员会按本章第 2.2.4（</w:t>
            </w:r>
            <w:r>
              <w:rPr>
                <w:rFonts w:ascii="宋体" w:hAnsi="宋体"/>
                <w:color w:val="auto"/>
                <w:szCs w:val="21"/>
                <w:highlight w:val="none"/>
              </w:rPr>
              <w:t>5</w:t>
            </w:r>
            <w:r>
              <w:rPr>
                <w:rFonts w:hint="eastAsia" w:ascii="宋体" w:hAnsi="宋体"/>
                <w:color w:val="auto"/>
                <w:szCs w:val="21"/>
                <w:highlight w:val="none"/>
              </w:rPr>
              <w:t xml:space="preserve">）目规定的评审因素和分值对评标价计算出得分E。评标价得分分值计算保留小数点后两位，小数点后第三位“四舍五入”。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3.5.2 投标人综合得分=投标人的商务和技术得分+</w:t>
            </w:r>
            <w:r>
              <w:rPr>
                <w:rFonts w:ascii="宋体" w:hAnsi="宋体"/>
                <w:color w:val="auto"/>
                <w:szCs w:val="21"/>
                <w:highlight w:val="none"/>
              </w:rPr>
              <w:t>E</w:t>
            </w:r>
            <w:r>
              <w:rPr>
                <w:rFonts w:hint="eastAsia" w:ascii="宋体" w:hAnsi="宋体"/>
                <w:color w:val="auto"/>
                <w:szCs w:val="21"/>
                <w:highlight w:val="none"/>
              </w:rPr>
              <w:t xml:space="preserve">。 </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r>
              <w:rPr>
                <w:rFonts w:hint="eastAsia" w:ascii="宋体" w:hAnsi="宋体"/>
                <w:color w:val="auto"/>
                <w:szCs w:val="21"/>
                <w:highlight w:val="none"/>
              </w:rPr>
              <w:t xml:space="preserve"> 投标文件相关信息的核查</w:t>
            </w:r>
          </w:p>
          <w:p>
            <w:pPr>
              <w:autoSpaceDE w:val="0"/>
              <w:autoSpaceDN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.6.1</w:t>
            </w:r>
            <w:r>
              <w:rPr>
                <w:rFonts w:hint="eastAsia" w:ascii="宋体" w:hAnsi="宋体" w:cs="宋体"/>
                <w:color w:val="auto"/>
                <w:highlight w:val="none"/>
              </w:rPr>
              <w:t>在评标过程中，评标委员会应对</w:t>
            </w:r>
            <w:r>
              <w:rPr>
                <w:rFonts w:hint="eastAsia" w:ascii="宋体" w:hAnsi="宋体"/>
                <w:color w:val="auto"/>
                <w:szCs w:val="21"/>
                <w:highlight w:val="none"/>
              </w:rPr>
              <w:t>投标文件中以下信息进行查询：</w:t>
            </w:r>
          </w:p>
          <w:p>
            <w:pPr>
              <w:autoSpaceDE w:val="0"/>
              <w:autoSpaceDN w:val="0"/>
              <w:snapToGrid w:val="0"/>
              <w:spacing w:line="288" w:lineRule="auto"/>
              <w:ind w:firstLine="420" w:firstLineChars="200"/>
              <w:rPr>
                <w:rFonts w:ascii="宋体" w:hAnsi="宋体" w:cs="宋体"/>
                <w:color w:val="auto"/>
                <w:highlight w:val="none"/>
              </w:rPr>
            </w:pPr>
            <w:r>
              <w:rPr>
                <w:rFonts w:hint="eastAsia" w:ascii="宋体" w:hAnsi="宋体" w:cs="宋体"/>
                <w:color w:val="auto"/>
                <w:highlight w:val="none"/>
              </w:rPr>
              <w:t>（1）所附项目经理一级注册建造师信息的网页截图复印件与“全国建筑市场监管公共服务平台（http://jzsc.mohurd.gov.cn/）”核查的结果一致，并满足招标文件资格审查条件要求。项目经理的</w:t>
            </w:r>
            <w:r>
              <w:rPr>
                <w:rFonts w:ascii="宋体" w:hAnsi="宋体"/>
                <w:color w:val="auto"/>
                <w:highlight w:val="none"/>
              </w:rPr>
              <w:t>一级建造师电子注册证书</w:t>
            </w:r>
            <w:r>
              <w:rPr>
                <w:rFonts w:hint="eastAsia" w:ascii="宋体" w:hAnsi="宋体" w:cs="宋体"/>
                <w:color w:val="auto"/>
                <w:highlight w:val="none"/>
              </w:rPr>
              <w:t>的注册单位名称必须与投标人（</w:t>
            </w:r>
            <w:r>
              <w:rPr>
                <w:rFonts w:ascii="宋体" w:hAnsi="宋体"/>
                <w:color w:val="auto"/>
                <w:highlight w:val="none"/>
              </w:rPr>
              <w:t>或联合体牵头人</w:t>
            </w:r>
            <w:r>
              <w:rPr>
                <w:rFonts w:hint="eastAsia" w:ascii="宋体" w:hAnsi="宋体" w:cs="宋体"/>
                <w:color w:val="auto"/>
                <w:highlight w:val="none"/>
              </w:rPr>
              <w:t>）名称一致；</w:t>
            </w:r>
          </w:p>
          <w:p>
            <w:pPr>
              <w:autoSpaceDE w:val="0"/>
              <w:autoSpaceDN w:val="0"/>
              <w:snapToGrid w:val="0"/>
              <w:spacing w:line="288" w:lineRule="auto"/>
              <w:ind w:firstLine="420" w:firstLineChars="200"/>
              <w:rPr>
                <w:rFonts w:ascii="宋体" w:hAnsi="宋体"/>
                <w:color w:val="auto"/>
                <w:highlight w:val="none"/>
              </w:rPr>
            </w:pPr>
            <w:r>
              <w:rPr>
                <w:rFonts w:hint="eastAsia" w:ascii="宋体" w:hAnsi="宋体"/>
                <w:color w:val="auto"/>
                <w:highlight w:val="none"/>
              </w:rPr>
              <w:t>如投标人未提供相关网页截图复印件或相关网页截图复印件中的信息无法证实投标人满足招标文件规定</w:t>
            </w:r>
            <w:r>
              <w:rPr>
                <w:rFonts w:hint="eastAsia" w:ascii="宋体" w:hAnsi="宋体"/>
                <w:color w:val="auto"/>
                <w:szCs w:val="21"/>
                <w:highlight w:val="none"/>
              </w:rPr>
              <w:t>的资格审查条件（</w:t>
            </w:r>
            <w:r>
              <w:rPr>
                <w:rFonts w:hint="eastAsia" w:ascii="宋体" w:hAnsi="宋体"/>
                <w:color w:val="auto"/>
                <w:highlight w:val="none"/>
              </w:rPr>
              <w:t>项目经理最低要求</w:t>
            </w:r>
            <w:r>
              <w:rPr>
                <w:rFonts w:hint="eastAsia" w:ascii="宋体" w:hAnsi="宋体"/>
                <w:color w:val="auto"/>
                <w:szCs w:val="21"/>
                <w:highlight w:val="none"/>
              </w:rPr>
              <w:t>）</w:t>
            </w:r>
            <w:r>
              <w:rPr>
                <w:rFonts w:hint="eastAsia" w:ascii="宋体" w:hAnsi="宋体"/>
                <w:color w:val="auto"/>
                <w:highlight w:val="none"/>
              </w:rPr>
              <w:t>，则该证书不予认定。</w:t>
            </w:r>
          </w:p>
          <w:p>
            <w:pPr>
              <w:autoSpaceDE w:val="0"/>
              <w:autoSpaceDN w:val="0"/>
              <w:snapToGrid w:val="0"/>
              <w:spacing w:line="288" w:lineRule="auto"/>
              <w:ind w:firstLine="420" w:firstLineChars="200"/>
              <w:rPr>
                <w:rFonts w:ascii="宋体" w:hAnsi="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olor w:val="auto"/>
                <w:szCs w:val="21"/>
                <w:highlight w:val="none"/>
              </w:rPr>
              <w:t>评标委员会评标时应在</w:t>
            </w:r>
            <w:r>
              <w:rPr>
                <w:rFonts w:hint="eastAsia" w:ascii="宋体" w:hAnsi="宋体" w:cs="宋体"/>
                <w:color w:val="auto"/>
                <w:highlight w:val="none"/>
              </w:rPr>
              <w:t xml:space="preserve">“国家企业信用信息公示系统”和“信用中国”网站对投标人（联合体所有成员）的信用情况进行查询，若投标人（或联合体所有成员）存在“国家企业信用信息公示系统” </w:t>
            </w:r>
            <w:r>
              <w:rPr>
                <w:rFonts w:hint="eastAsia" w:ascii="宋体" w:hAnsi="宋体" w:cs="宋体"/>
                <w:color w:val="auto"/>
                <w:highlight w:val="none"/>
                <w:lang w:val="en-US" w:eastAsia="zh-CN"/>
              </w:rPr>
              <w:t>中</w:t>
            </w:r>
            <w:r>
              <w:rPr>
                <w:rFonts w:hint="eastAsia" w:ascii="宋体" w:hAnsi="宋体" w:cs="宋体"/>
                <w:color w:val="auto"/>
                <w:highlight w:val="none"/>
              </w:rPr>
              <w:t>被严重违法失信名单（黑名单）信息（不含分公司）或在“信用中国”网站</w:t>
            </w:r>
            <w:r>
              <w:rPr>
                <w:rFonts w:hint="eastAsia" w:ascii="宋体" w:hAnsi="宋体" w:cs="宋体"/>
                <w:color w:val="auto"/>
                <w:highlight w:val="none"/>
                <w:lang w:val="en-US" w:eastAsia="zh-CN"/>
              </w:rPr>
              <w:t>中</w:t>
            </w:r>
            <w:r>
              <w:rPr>
                <w:rFonts w:hint="eastAsia" w:ascii="宋体" w:hAnsi="宋体" w:cs="宋体"/>
                <w:color w:val="auto"/>
                <w:highlight w:val="none"/>
              </w:rPr>
              <w:t>被列入“</w:t>
            </w:r>
            <w:r>
              <w:rPr>
                <w:rFonts w:hint="eastAsia" w:ascii="宋体" w:hAnsi="宋体" w:cs="宋体"/>
                <w:color w:val="auto"/>
                <w:highlight w:val="none"/>
                <w:lang w:eastAsia="zh-CN"/>
              </w:rPr>
              <w:t>失信被执行人名单、经营（活动）异常名录、重大税收违法失信主体名单、政府采购严重违法失信行为记录名单、安全生产严重失信主体名单</w:t>
            </w:r>
            <w:r>
              <w:rPr>
                <w:rFonts w:hint="eastAsia" w:ascii="宋体" w:hAnsi="宋体" w:cs="宋体"/>
                <w:color w:val="auto"/>
                <w:highlight w:val="none"/>
              </w:rPr>
              <w:t>”情形的（均不含分公司），评标委员会应否决其投标。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如投标人未提供相关网页截图或所附截图与核查结果不一致，评标委员会应否决其投标。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人应保证上述全部截图的真实性。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r>
              <w:rPr>
                <w:rFonts w:hint="eastAsia" w:ascii="宋体" w:hAnsi="宋体"/>
                <w:color w:val="auto"/>
                <w:szCs w:val="21"/>
                <w:highlight w:val="none"/>
              </w:rPr>
              <w:t>.2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（1）有下列情形之一的，属于投标人相互串通投标：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a.投标人之间协商投标报价等投标文件的实质性内容；</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b.投标人之间约定中标人；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c.投标人之间约定部分投标人放弃投标或中标；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d.属于同一集团、协会、商会等组织成员的投标人按照该组织要求协同投标；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e.投标人之间为谋取中标或排斥特定投标人而采取的其他联合行动。</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（2）有下列情形之一的，视为投标人相互串通投标：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a.不同投标人的投标文件由同一单位或个人编制；</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b.不同投标人委托同一单位或个人办理投标事宜；</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c.不同投标人的投标文件载明的项目管理成员为同一人；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d.不同投标人的投标文件异常一致或投标报价呈规律性差异；</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e.不同投标人的投标文件相互混装；</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f.不同投标人的投标保证金从同一单位或个人的账户转出。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（3）有下列情形之一的，属于招标人与投标人串通投标：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a.招标人在开标前开启投标文件并将有关信息泄露给其他投标人;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b.招标人直接或间接向投标人泄露标底、评标委员会成员等信息；</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c.招标人明示或暗示投标人压低或抬高投标报价；</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d.招标人授意投标人撤换、修改投标文件；</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e.招标人明示或暗示投标人为特定投标人中标提供方便；</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f.招标人与投标人为谋求特定投标人中标而采取的其他串通行为。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（4）投标人有下列情形之一的，属于弄虚作假的行为：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a.使用通过受让或租借等方式获取的资格、资质证书投标；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b.使用伪造、变造的许可证件；</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c.提供虚假的财务状况或业绩；</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d.提供虚假的项目负责人或主要技术人员简历、劳动关系证明；</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e.提供虚假的信用状况；</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f.其他弄虚作假的行为。</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r>
              <w:rPr>
                <w:rFonts w:hint="eastAsia" w:ascii="宋体" w:hAnsi="宋体"/>
                <w:color w:val="auto"/>
                <w:szCs w:val="21"/>
                <w:highlight w:val="none"/>
              </w:rPr>
              <w:t xml:space="preserve"> 投标文件的澄清和说明</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r>
              <w:rPr>
                <w:rFonts w:hint="eastAsia" w:ascii="宋体" w:hAnsi="宋体"/>
                <w:color w:val="auto"/>
                <w:szCs w:val="21"/>
                <w:highlight w:val="none"/>
              </w:rPr>
              <w:t>.1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r>
              <w:rPr>
                <w:rFonts w:hint="eastAsia" w:ascii="宋体" w:hAnsi="宋体"/>
                <w:color w:val="auto"/>
                <w:szCs w:val="21"/>
                <w:highlight w:val="none"/>
              </w:rPr>
              <w:t>.2 澄清和说明不得超出投标文件的范围或改变投标文件的实质性内容。投标人的书面澄清、说明属于投标文件的组成部分。</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r>
              <w:rPr>
                <w:rFonts w:hint="eastAsia" w:ascii="宋体" w:hAnsi="宋体"/>
                <w:color w:val="auto"/>
                <w:szCs w:val="21"/>
                <w:highlight w:val="none"/>
              </w:rPr>
              <w:t>.3 评标委员会不得暗示或诱导投标人作出澄清、说明，对投标人提交的澄清、说明有疑问的，</w:t>
            </w:r>
            <w:r>
              <w:rPr>
                <w:rFonts w:hint="eastAsia" w:ascii="宋体" w:hAnsi="宋体"/>
                <w:color w:val="auto"/>
                <w:szCs w:val="21"/>
                <w:highlight w:val="none"/>
                <w:lang w:eastAsia="zh-CN"/>
              </w:rPr>
              <w:t>可以要求投标人进一步澄清或说明</w:t>
            </w:r>
            <w:r>
              <w:rPr>
                <w:rFonts w:hint="eastAsia" w:ascii="宋体" w:hAnsi="宋体"/>
                <w:color w:val="auto"/>
                <w:szCs w:val="21"/>
                <w:highlight w:val="none"/>
              </w:rPr>
              <w:t>。</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r>
              <w:rPr>
                <w:rFonts w:hint="eastAsia" w:ascii="宋体" w:hAnsi="宋体"/>
                <w:color w:val="auto"/>
                <w:szCs w:val="21"/>
                <w:highlight w:val="none"/>
              </w:rPr>
              <w:t>.4 凡超出招标文件规定的或给发包人带来未曾要求的利益的变化、偏差或其他因素在评标时不予考虑。</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w:t>
            </w:r>
            <w:r>
              <w:rPr>
                <w:rFonts w:hint="eastAsia" w:ascii="宋体" w:hAnsi="宋体"/>
                <w:color w:val="auto"/>
                <w:szCs w:val="21"/>
                <w:highlight w:val="none"/>
              </w:rPr>
              <w:t>不得否决投标的情形</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9</w:t>
            </w:r>
            <w:r>
              <w:rPr>
                <w:rFonts w:hint="eastAsia" w:ascii="宋体" w:hAnsi="宋体"/>
                <w:color w:val="auto"/>
                <w:szCs w:val="21"/>
                <w:highlight w:val="none"/>
              </w:rPr>
              <w:t xml:space="preserve"> 评标结果</w:t>
            </w:r>
          </w:p>
          <w:p>
            <w:pPr>
              <w:snapToGrid w:val="0"/>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9</w:t>
            </w:r>
            <w:r>
              <w:rPr>
                <w:rFonts w:hint="eastAsia" w:ascii="宋体" w:hAnsi="宋体"/>
                <w:color w:val="auto"/>
                <w:szCs w:val="21"/>
                <w:highlight w:val="none"/>
              </w:rPr>
              <w:t>.1 评标委员会按照综合得分由高到低的顺序推荐中标候选人，并标明排序。</w:t>
            </w:r>
          </w:p>
          <w:p>
            <w:pPr>
              <w:snapToGrid w:val="0"/>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9</w:t>
            </w:r>
            <w:r>
              <w:rPr>
                <w:rFonts w:hint="eastAsia" w:ascii="宋体" w:hAnsi="宋体"/>
                <w:color w:val="auto"/>
                <w:szCs w:val="21"/>
                <w:highlight w:val="none"/>
              </w:rPr>
              <w:t>.2 评标委员会完成评标后，应向招标人提交书面评标报告。</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320" w:lineRule="exact"/>
        <w:jc w:val="left"/>
        <w:textAlignment w:val="auto"/>
        <w:rPr>
          <w:rFonts w:ascii="宋体" w:hAnsi="宋体"/>
          <w:color w:val="auto"/>
          <w:sz w:val="21"/>
          <w:szCs w:val="21"/>
          <w:highlight w:val="none"/>
        </w:rPr>
      </w:pPr>
      <w:r>
        <w:rPr>
          <w:rFonts w:hint="eastAsia" w:ascii="宋体" w:hAnsi="宋体"/>
          <w:color w:val="auto"/>
          <w:sz w:val="21"/>
          <w:szCs w:val="21"/>
          <w:highlight w:val="none"/>
        </w:rPr>
        <w:t>具体评分标准如下：</w:t>
      </w:r>
    </w:p>
    <w:tbl>
      <w:tblPr>
        <w:tblStyle w:val="8"/>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962"/>
        <w:gridCol w:w="779"/>
        <w:gridCol w:w="1585"/>
        <w:gridCol w:w="7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2528" w:type="pct"/>
            <w:gridSpan w:val="5"/>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评分因素与权重分值</w:t>
            </w:r>
          </w:p>
        </w:tc>
        <w:tc>
          <w:tcPr>
            <w:tcW w:w="2471"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98" w:type="pc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505" w:type="pc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评分因素</w:t>
            </w:r>
          </w:p>
        </w:tc>
        <w:tc>
          <w:tcPr>
            <w:tcW w:w="409" w:type="pct"/>
            <w:noWrap w:val="0"/>
            <w:vAlign w:val="center"/>
          </w:tcPr>
          <w:p>
            <w:pPr>
              <w:ind w:left="-105" w:leftChars="-51" w:right="-113" w:rightChars="-54" w:hanging="2"/>
              <w:jc w:val="center"/>
              <w:rPr>
                <w:rFonts w:ascii="宋体" w:hAnsi="宋体"/>
                <w:color w:val="auto"/>
                <w:szCs w:val="21"/>
                <w:highlight w:val="none"/>
              </w:rPr>
            </w:pPr>
            <w:r>
              <w:rPr>
                <w:rFonts w:hint="eastAsia" w:ascii="宋体" w:hAnsi="宋体"/>
                <w:smallCaps/>
                <w:color w:val="auto"/>
                <w:szCs w:val="21"/>
                <w:highlight w:val="none"/>
              </w:rPr>
              <w:t>评分因素权重分值</w:t>
            </w:r>
          </w:p>
        </w:tc>
        <w:tc>
          <w:tcPr>
            <w:tcW w:w="832" w:type="pct"/>
            <w:noWrap w:val="0"/>
            <w:vAlign w:val="center"/>
          </w:tcPr>
          <w:p>
            <w:pPr>
              <w:spacing w:line="320" w:lineRule="exact"/>
              <w:jc w:val="center"/>
              <w:rPr>
                <w:rFonts w:ascii="宋体" w:hAnsi="宋体"/>
                <w:color w:val="auto"/>
                <w:szCs w:val="21"/>
                <w:highlight w:val="none"/>
              </w:rPr>
            </w:pPr>
            <w:r>
              <w:rPr>
                <w:rFonts w:ascii="宋体" w:hAnsi="宋体"/>
                <w:smallCaps/>
                <w:color w:val="auto"/>
                <w:szCs w:val="21"/>
                <w:highlight w:val="none"/>
              </w:rPr>
              <w:t>各评分因素细分项</w:t>
            </w:r>
          </w:p>
        </w:tc>
        <w:tc>
          <w:tcPr>
            <w:tcW w:w="382" w:type="pc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分值</w:t>
            </w:r>
          </w:p>
        </w:tc>
        <w:tc>
          <w:tcPr>
            <w:tcW w:w="2471" w:type="pct"/>
            <w:vMerge w:val="continue"/>
            <w:noWrap w:val="0"/>
            <w:vAlign w:val="center"/>
          </w:tcPr>
          <w:p>
            <w:pPr>
              <w:spacing w:line="32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8"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2.2.4（1）</w:t>
            </w:r>
          </w:p>
        </w:tc>
        <w:tc>
          <w:tcPr>
            <w:tcW w:w="505" w:type="pct"/>
            <w:vMerge w:val="restart"/>
            <w:noWrap w:val="0"/>
            <w:vAlign w:val="center"/>
          </w:tcPr>
          <w:p>
            <w:pPr>
              <w:spacing w:line="320" w:lineRule="exact"/>
              <w:ind w:left="-69" w:leftChars="-54" w:right="-105" w:rightChars="-50" w:hanging="44" w:hangingChars="21"/>
              <w:jc w:val="center"/>
              <w:rPr>
                <w:rFonts w:ascii="宋体" w:hAnsi="宋体"/>
                <w:color w:val="auto"/>
                <w:szCs w:val="21"/>
                <w:highlight w:val="none"/>
              </w:rPr>
            </w:pPr>
            <w:r>
              <w:rPr>
                <w:rFonts w:hint="eastAsia" w:ascii="宋体" w:hAnsi="宋体"/>
                <w:color w:val="auto"/>
                <w:szCs w:val="21"/>
                <w:highlight w:val="none"/>
              </w:rPr>
              <w:t>承包人建议书(暗标)</w:t>
            </w:r>
          </w:p>
        </w:tc>
        <w:tc>
          <w:tcPr>
            <w:tcW w:w="409" w:type="pct"/>
            <w:vMerge w:val="restart"/>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分</w:t>
            </w:r>
          </w:p>
        </w:tc>
        <w:tc>
          <w:tcPr>
            <w:tcW w:w="83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对招标项目的理解和总体思路</w:t>
            </w:r>
          </w:p>
        </w:tc>
        <w:tc>
          <w:tcPr>
            <w:tcW w:w="382" w:type="pct"/>
            <w:noWrap w:val="0"/>
            <w:vAlign w:val="center"/>
          </w:tcPr>
          <w:p>
            <w:pPr>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分</w:t>
            </w:r>
          </w:p>
        </w:tc>
        <w:tc>
          <w:tcPr>
            <w:tcW w:w="2471" w:type="pct"/>
            <w:noWrap w:val="0"/>
            <w:vAlign w:val="top"/>
          </w:tcPr>
          <w:p>
            <w:pPr>
              <w:jc w:val="left"/>
              <w:rPr>
                <w:rFonts w:ascii="宋体" w:hAnsi="宋体"/>
                <w:color w:val="auto"/>
                <w:szCs w:val="21"/>
                <w:highlight w:val="none"/>
              </w:rPr>
            </w:pPr>
            <w:r>
              <w:rPr>
                <w:rFonts w:hint="eastAsia" w:ascii="宋体" w:hAnsi="宋体"/>
                <w:color w:val="auto"/>
                <w:szCs w:val="21"/>
                <w:highlight w:val="none"/>
              </w:rPr>
              <w:t>对招标项目的理解和总体思路合理，清晰准确，得</w:t>
            </w:r>
            <w:r>
              <w:rPr>
                <w:rFonts w:ascii="宋体" w:hAnsi="宋体"/>
                <w:color w:val="auto"/>
                <w:szCs w:val="21"/>
                <w:highlight w:val="none"/>
              </w:rPr>
              <w:t>3.2-4.0</w:t>
            </w:r>
            <w:r>
              <w:rPr>
                <w:rFonts w:hint="eastAsia" w:ascii="宋体" w:hAnsi="宋体"/>
                <w:color w:val="auto"/>
                <w:szCs w:val="21"/>
                <w:highlight w:val="none"/>
              </w:rPr>
              <w:t>分；</w:t>
            </w:r>
          </w:p>
          <w:p>
            <w:pPr>
              <w:jc w:val="left"/>
              <w:rPr>
                <w:rFonts w:ascii="宋体" w:hAnsi="宋体"/>
                <w:color w:val="auto"/>
                <w:szCs w:val="21"/>
                <w:highlight w:val="none"/>
              </w:rPr>
            </w:pPr>
            <w:r>
              <w:rPr>
                <w:rFonts w:hint="eastAsia" w:ascii="宋体" w:hAnsi="宋体"/>
                <w:color w:val="auto"/>
                <w:szCs w:val="21"/>
                <w:highlight w:val="none"/>
              </w:rPr>
              <w:t>对招标项目的理解和总体思路较合理，得</w:t>
            </w:r>
            <w:r>
              <w:rPr>
                <w:rFonts w:ascii="宋体" w:hAnsi="宋体"/>
                <w:color w:val="auto"/>
                <w:szCs w:val="21"/>
                <w:highlight w:val="none"/>
              </w:rPr>
              <w:t>2.4-3.2</w:t>
            </w:r>
            <w:r>
              <w:rPr>
                <w:rFonts w:hint="eastAsia" w:ascii="宋体" w:hAnsi="宋体"/>
                <w:color w:val="auto"/>
                <w:szCs w:val="21"/>
                <w:highlight w:val="none"/>
              </w:rPr>
              <w:t>分；</w:t>
            </w:r>
          </w:p>
          <w:p>
            <w:pPr>
              <w:jc w:val="left"/>
              <w:rPr>
                <w:rFonts w:ascii="宋体" w:hAnsi="宋体"/>
                <w:color w:val="auto"/>
                <w:szCs w:val="21"/>
                <w:highlight w:val="none"/>
              </w:rPr>
            </w:pPr>
            <w:r>
              <w:rPr>
                <w:rFonts w:hint="eastAsia" w:ascii="宋体" w:hAnsi="宋体"/>
                <w:color w:val="auto"/>
                <w:szCs w:val="21"/>
                <w:highlight w:val="none"/>
              </w:rPr>
              <w:t>对招标项目的理解和总体思路基本合理，得</w:t>
            </w:r>
            <w:r>
              <w:rPr>
                <w:rFonts w:ascii="宋体" w:hAnsi="宋体"/>
                <w:color w:val="auto"/>
                <w:szCs w:val="21"/>
                <w:highlight w:val="none"/>
              </w:rPr>
              <w:t>2.4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spacing w:line="320" w:lineRule="exac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设计工作方案</w:t>
            </w:r>
          </w:p>
        </w:tc>
        <w:tc>
          <w:tcPr>
            <w:tcW w:w="382" w:type="pct"/>
            <w:noWrap w:val="0"/>
            <w:vAlign w:val="center"/>
          </w:tcPr>
          <w:p>
            <w:pPr>
              <w:jc w:val="cente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分</w:t>
            </w:r>
          </w:p>
        </w:tc>
        <w:tc>
          <w:tcPr>
            <w:tcW w:w="2471" w:type="pct"/>
            <w:noWrap w:val="0"/>
            <w:vAlign w:val="top"/>
          </w:tcPr>
          <w:p>
            <w:pPr>
              <w:jc w:val="left"/>
              <w:rPr>
                <w:rFonts w:ascii="宋体" w:hAnsi="宋体"/>
                <w:color w:val="auto"/>
                <w:szCs w:val="21"/>
                <w:highlight w:val="none"/>
              </w:rPr>
            </w:pPr>
            <w:r>
              <w:rPr>
                <w:rFonts w:hint="eastAsia" w:ascii="宋体" w:hAnsi="宋体"/>
                <w:color w:val="auto"/>
                <w:szCs w:val="21"/>
                <w:highlight w:val="none"/>
              </w:rPr>
              <w:t>设计工作方案合理、突出、详细，得</w:t>
            </w:r>
            <w:r>
              <w:rPr>
                <w:rFonts w:ascii="宋体" w:hAnsi="宋体"/>
                <w:color w:val="auto"/>
                <w:szCs w:val="21"/>
                <w:highlight w:val="none"/>
              </w:rPr>
              <w:t>5.6-7.0</w:t>
            </w:r>
            <w:r>
              <w:rPr>
                <w:rFonts w:hint="eastAsia" w:ascii="宋体" w:hAnsi="宋体"/>
                <w:color w:val="auto"/>
                <w:szCs w:val="21"/>
                <w:highlight w:val="none"/>
              </w:rPr>
              <w:t>分；</w:t>
            </w:r>
          </w:p>
          <w:p>
            <w:pPr>
              <w:ind w:left="-38" w:leftChars="-18" w:right="-53" w:rightChars="-25"/>
              <w:jc w:val="left"/>
              <w:rPr>
                <w:rFonts w:ascii="宋体" w:hAnsi="宋体"/>
                <w:color w:val="auto"/>
                <w:szCs w:val="21"/>
                <w:highlight w:val="none"/>
              </w:rPr>
            </w:pPr>
            <w:r>
              <w:rPr>
                <w:rFonts w:hint="eastAsia" w:ascii="宋体" w:hAnsi="宋体"/>
                <w:color w:val="auto"/>
                <w:szCs w:val="21"/>
                <w:highlight w:val="none"/>
              </w:rPr>
              <w:t>设计工作方案较合理、实施性较强，得</w:t>
            </w:r>
            <w:r>
              <w:rPr>
                <w:rFonts w:ascii="宋体" w:hAnsi="宋体"/>
                <w:color w:val="auto"/>
                <w:szCs w:val="21"/>
                <w:highlight w:val="none"/>
              </w:rPr>
              <w:t>4.2</w:t>
            </w:r>
            <w:r>
              <w:rPr>
                <w:rFonts w:hint="eastAsia" w:ascii="宋体" w:hAnsi="宋体"/>
                <w:color w:val="auto"/>
                <w:szCs w:val="21"/>
                <w:highlight w:val="none"/>
              </w:rPr>
              <w:t>-</w:t>
            </w:r>
            <w:r>
              <w:rPr>
                <w:rFonts w:ascii="宋体" w:hAnsi="宋体"/>
                <w:color w:val="auto"/>
                <w:szCs w:val="21"/>
                <w:highlight w:val="none"/>
              </w:rPr>
              <w:t>5.6</w:t>
            </w:r>
            <w:r>
              <w:rPr>
                <w:rFonts w:hint="eastAsia" w:ascii="宋体" w:hAnsi="宋体"/>
                <w:color w:val="auto"/>
                <w:szCs w:val="21"/>
                <w:highlight w:val="none"/>
              </w:rPr>
              <w:t>分；</w:t>
            </w:r>
          </w:p>
          <w:p>
            <w:pPr>
              <w:pStyle w:val="4"/>
              <w:spacing w:after="0"/>
              <w:rPr>
                <w:rFonts w:ascii="宋体" w:hAnsi="宋体"/>
                <w:color w:val="auto"/>
                <w:highlight w:val="none"/>
              </w:rPr>
            </w:pPr>
            <w:r>
              <w:rPr>
                <w:rFonts w:hint="eastAsia" w:ascii="宋体" w:hAnsi="宋体"/>
                <w:color w:val="auto"/>
                <w:szCs w:val="21"/>
                <w:highlight w:val="none"/>
              </w:rPr>
              <w:t>设计工作方案基本合理、实施性一般，得</w:t>
            </w:r>
            <w:r>
              <w:rPr>
                <w:rFonts w:ascii="宋体" w:hAnsi="宋体"/>
                <w:color w:val="auto"/>
                <w:szCs w:val="21"/>
                <w:highlight w:val="none"/>
              </w:rPr>
              <w:t>4.2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spacing w:line="320" w:lineRule="exac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合理化建议</w:t>
            </w:r>
          </w:p>
        </w:tc>
        <w:tc>
          <w:tcPr>
            <w:tcW w:w="382" w:type="pct"/>
            <w:noWrap w:val="0"/>
            <w:vAlign w:val="center"/>
          </w:tcPr>
          <w:p>
            <w:pPr>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分</w:t>
            </w:r>
          </w:p>
        </w:tc>
        <w:tc>
          <w:tcPr>
            <w:tcW w:w="2471" w:type="pct"/>
            <w:noWrap w:val="0"/>
            <w:vAlign w:val="top"/>
          </w:tcPr>
          <w:p>
            <w:pPr>
              <w:jc w:val="left"/>
              <w:rPr>
                <w:rFonts w:ascii="宋体" w:hAnsi="宋体"/>
                <w:color w:val="auto"/>
                <w:szCs w:val="21"/>
                <w:highlight w:val="none"/>
              </w:rPr>
            </w:pPr>
            <w:r>
              <w:rPr>
                <w:rFonts w:hint="eastAsia" w:ascii="宋体" w:hAnsi="宋体"/>
                <w:color w:val="auto"/>
                <w:szCs w:val="21"/>
                <w:highlight w:val="none"/>
              </w:rPr>
              <w:t>合理化建议科学合理，得</w:t>
            </w:r>
            <w:r>
              <w:rPr>
                <w:rFonts w:ascii="宋体" w:hAnsi="宋体"/>
                <w:color w:val="auto"/>
                <w:szCs w:val="21"/>
                <w:highlight w:val="none"/>
              </w:rPr>
              <w:t>3.2</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.0分；</w:t>
            </w:r>
          </w:p>
          <w:p>
            <w:pPr>
              <w:jc w:val="left"/>
              <w:rPr>
                <w:rFonts w:ascii="宋体" w:hAnsi="宋体"/>
                <w:color w:val="auto"/>
                <w:szCs w:val="21"/>
                <w:highlight w:val="none"/>
              </w:rPr>
            </w:pPr>
            <w:r>
              <w:rPr>
                <w:rFonts w:hint="eastAsia" w:ascii="宋体" w:hAnsi="宋体"/>
                <w:color w:val="auto"/>
                <w:szCs w:val="21"/>
                <w:highlight w:val="none"/>
              </w:rPr>
              <w:t>合理化建议较合理，得</w:t>
            </w:r>
            <w:r>
              <w:rPr>
                <w:rFonts w:ascii="宋体" w:hAnsi="宋体"/>
                <w:color w:val="auto"/>
                <w:szCs w:val="21"/>
                <w:highlight w:val="none"/>
              </w:rPr>
              <w:t>2.4</w:t>
            </w:r>
            <w:r>
              <w:rPr>
                <w:rFonts w:hint="eastAsia" w:ascii="宋体" w:hAnsi="宋体"/>
                <w:color w:val="auto"/>
                <w:szCs w:val="21"/>
                <w:highlight w:val="none"/>
              </w:rPr>
              <w:t>-</w:t>
            </w:r>
            <w:r>
              <w:rPr>
                <w:rFonts w:ascii="宋体" w:hAnsi="宋体"/>
                <w:color w:val="auto"/>
                <w:szCs w:val="21"/>
                <w:highlight w:val="none"/>
              </w:rPr>
              <w:t>3.2</w:t>
            </w:r>
            <w:r>
              <w:rPr>
                <w:rFonts w:hint="eastAsia" w:ascii="宋体" w:hAnsi="宋体"/>
                <w:color w:val="auto"/>
                <w:szCs w:val="21"/>
                <w:highlight w:val="none"/>
              </w:rPr>
              <w:t>分；</w:t>
            </w:r>
          </w:p>
          <w:p>
            <w:pPr>
              <w:pStyle w:val="4"/>
              <w:spacing w:after="0"/>
              <w:rPr>
                <w:rFonts w:ascii="宋体" w:hAnsi="宋体"/>
                <w:color w:val="auto"/>
                <w:highlight w:val="none"/>
              </w:rPr>
            </w:pPr>
            <w:r>
              <w:rPr>
                <w:rFonts w:hint="eastAsia" w:ascii="宋体" w:hAnsi="宋体"/>
                <w:color w:val="auto"/>
                <w:szCs w:val="21"/>
                <w:highlight w:val="none"/>
              </w:rPr>
              <w:t>合理化建议一般，得</w:t>
            </w:r>
            <w:r>
              <w:rPr>
                <w:rFonts w:ascii="宋体" w:hAnsi="宋体"/>
                <w:color w:val="auto"/>
                <w:szCs w:val="21"/>
                <w:highlight w:val="none"/>
              </w:rPr>
              <w:t>2.4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2.2.4（2）</w:t>
            </w:r>
          </w:p>
        </w:tc>
        <w:tc>
          <w:tcPr>
            <w:tcW w:w="505" w:type="pct"/>
            <w:vMerge w:val="restart"/>
            <w:noWrap w:val="0"/>
            <w:vAlign w:val="center"/>
          </w:tcPr>
          <w:p>
            <w:pPr>
              <w:spacing w:line="320" w:lineRule="exact"/>
              <w:ind w:left="-46" w:leftChars="-22" w:right="-105" w:rightChars="-50" w:firstLine="2"/>
              <w:jc w:val="center"/>
              <w:rPr>
                <w:rFonts w:ascii="宋体" w:hAnsi="宋体"/>
                <w:color w:val="auto"/>
                <w:szCs w:val="21"/>
                <w:highlight w:val="none"/>
              </w:rPr>
            </w:pPr>
            <w:r>
              <w:rPr>
                <w:rFonts w:hint="eastAsia" w:ascii="宋体" w:hAnsi="宋体"/>
                <w:color w:val="auto"/>
                <w:szCs w:val="21"/>
                <w:highlight w:val="none"/>
              </w:rPr>
              <w:t>承包人实施计划</w:t>
            </w:r>
          </w:p>
          <w:p>
            <w:pPr>
              <w:spacing w:line="320" w:lineRule="exact"/>
              <w:ind w:left="-46" w:leftChars="-22" w:right="-105" w:rightChars="-50" w:firstLine="2"/>
              <w:jc w:val="center"/>
              <w:rPr>
                <w:rFonts w:ascii="宋体" w:hAnsi="宋体"/>
                <w:color w:val="auto"/>
                <w:szCs w:val="21"/>
                <w:highlight w:val="none"/>
              </w:rPr>
            </w:pPr>
            <w:r>
              <w:rPr>
                <w:rFonts w:hint="eastAsia" w:ascii="宋体" w:hAnsi="宋体"/>
                <w:color w:val="auto"/>
                <w:szCs w:val="21"/>
                <w:highlight w:val="none"/>
              </w:rPr>
              <w:t>(暗标)</w:t>
            </w:r>
          </w:p>
        </w:tc>
        <w:tc>
          <w:tcPr>
            <w:tcW w:w="409" w:type="pct"/>
            <w:vMerge w:val="restart"/>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83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总体实施方案</w:t>
            </w:r>
          </w:p>
        </w:tc>
        <w:tc>
          <w:tcPr>
            <w:tcW w:w="382" w:type="pct"/>
            <w:noWrap w:val="0"/>
            <w:vAlign w:val="center"/>
          </w:tcPr>
          <w:p>
            <w:pPr>
              <w:jc w:val="center"/>
              <w:rPr>
                <w:rFonts w:ascii="宋体" w:hAnsi="宋体"/>
                <w:color w:val="auto"/>
                <w:highlight w:val="none"/>
              </w:rPr>
            </w:pPr>
            <w:r>
              <w:rPr>
                <w:rFonts w:ascii="宋体" w:hAnsi="宋体"/>
                <w:color w:val="auto"/>
                <w:highlight w:val="none"/>
              </w:rPr>
              <w:t>5</w:t>
            </w:r>
            <w:r>
              <w:rPr>
                <w:rFonts w:hint="eastAsia" w:ascii="宋体" w:hAnsi="宋体"/>
                <w:color w:val="auto"/>
                <w:highlight w:val="none"/>
              </w:rPr>
              <w:t>分</w:t>
            </w:r>
          </w:p>
        </w:tc>
        <w:tc>
          <w:tcPr>
            <w:tcW w:w="2471" w:type="pct"/>
            <w:noWrap w:val="0"/>
            <w:vAlign w:val="center"/>
          </w:tcPr>
          <w:p>
            <w:pPr>
              <w:jc w:val="left"/>
              <w:rPr>
                <w:rFonts w:ascii="宋体" w:hAnsi="宋体"/>
                <w:color w:val="auto"/>
                <w:szCs w:val="21"/>
                <w:highlight w:val="none"/>
              </w:rPr>
            </w:pPr>
            <w:r>
              <w:rPr>
                <w:rFonts w:hint="eastAsia" w:ascii="宋体" w:hAnsi="宋体"/>
                <w:color w:val="auto"/>
                <w:szCs w:val="21"/>
                <w:highlight w:val="none"/>
              </w:rPr>
              <w:t>内容完整，编制科学合理，指导性强，得</w:t>
            </w:r>
            <w:r>
              <w:rPr>
                <w:rFonts w:ascii="宋体" w:hAnsi="宋体"/>
                <w:color w:val="auto"/>
                <w:szCs w:val="21"/>
                <w:highlight w:val="none"/>
              </w:rPr>
              <w:t>4.0</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.0分；</w:t>
            </w:r>
          </w:p>
          <w:p>
            <w:pPr>
              <w:jc w:val="left"/>
              <w:rPr>
                <w:rFonts w:ascii="宋体" w:hAnsi="宋体"/>
                <w:color w:val="auto"/>
                <w:szCs w:val="21"/>
                <w:highlight w:val="none"/>
              </w:rPr>
            </w:pPr>
            <w:r>
              <w:rPr>
                <w:rFonts w:hint="eastAsia" w:ascii="宋体" w:hAnsi="宋体"/>
                <w:color w:val="auto"/>
                <w:szCs w:val="21"/>
                <w:highlight w:val="none"/>
              </w:rPr>
              <w:t>内容较完整，编制较合理，指导性较强，得</w:t>
            </w:r>
            <w:r>
              <w:rPr>
                <w:rFonts w:ascii="宋体" w:hAnsi="宋体"/>
                <w:color w:val="auto"/>
                <w:szCs w:val="21"/>
                <w:highlight w:val="none"/>
              </w:rPr>
              <w:t>3.0</w:t>
            </w:r>
            <w:r>
              <w:rPr>
                <w:rFonts w:hint="eastAsia" w:ascii="宋体" w:hAnsi="宋体"/>
                <w:color w:val="auto"/>
                <w:szCs w:val="21"/>
                <w:highlight w:val="none"/>
              </w:rPr>
              <w:t>-</w:t>
            </w:r>
            <w:r>
              <w:rPr>
                <w:rFonts w:ascii="宋体" w:hAnsi="宋体"/>
                <w:color w:val="auto"/>
                <w:szCs w:val="21"/>
                <w:highlight w:val="none"/>
              </w:rPr>
              <w:t>4.0</w:t>
            </w:r>
            <w:r>
              <w:rPr>
                <w:rFonts w:hint="eastAsia" w:ascii="宋体" w:hAnsi="宋体"/>
                <w:color w:val="auto"/>
                <w:szCs w:val="21"/>
                <w:highlight w:val="none"/>
              </w:rPr>
              <w:t>分；</w:t>
            </w:r>
          </w:p>
          <w:p>
            <w:pPr>
              <w:pStyle w:val="4"/>
              <w:spacing w:after="0"/>
              <w:rPr>
                <w:rFonts w:ascii="宋体" w:hAnsi="宋体"/>
                <w:color w:val="auto"/>
                <w:highlight w:val="none"/>
              </w:rPr>
            </w:pPr>
            <w:r>
              <w:rPr>
                <w:rFonts w:hint="eastAsia" w:ascii="宋体" w:hAnsi="宋体"/>
                <w:color w:val="auto"/>
                <w:szCs w:val="21"/>
                <w:highlight w:val="none"/>
              </w:rPr>
              <w:t>内容基本完整，编制基本合理，指导性一般，得</w:t>
            </w:r>
            <w:r>
              <w:rPr>
                <w:rFonts w:ascii="宋体" w:hAnsi="宋体"/>
                <w:color w:val="auto"/>
                <w:szCs w:val="21"/>
                <w:highlight w:val="none"/>
              </w:rPr>
              <w:t>3.0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施工实施</w:t>
            </w:r>
            <w:r>
              <w:rPr>
                <w:rFonts w:hint="eastAsia" w:ascii="宋体" w:hAnsi="宋体"/>
                <w:color w:val="auto"/>
                <w:szCs w:val="21"/>
                <w:highlight w:val="none"/>
                <w:lang w:val="en-US" w:eastAsia="zh-CN"/>
              </w:rPr>
              <w:t>要点</w:t>
            </w:r>
          </w:p>
        </w:tc>
        <w:tc>
          <w:tcPr>
            <w:tcW w:w="382" w:type="pct"/>
            <w:noWrap w:val="0"/>
            <w:vAlign w:val="center"/>
          </w:tcPr>
          <w:p>
            <w:pPr>
              <w:jc w:val="center"/>
              <w:rPr>
                <w:rFonts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分</w:t>
            </w:r>
          </w:p>
        </w:tc>
        <w:tc>
          <w:tcPr>
            <w:tcW w:w="2471" w:type="pct"/>
            <w:noWrap w:val="0"/>
            <w:vAlign w:val="center"/>
          </w:tcPr>
          <w:p>
            <w:pPr>
              <w:rPr>
                <w:rFonts w:ascii="宋体" w:hAnsi="宋体"/>
                <w:color w:val="auto"/>
                <w:szCs w:val="21"/>
                <w:highlight w:val="none"/>
              </w:rPr>
            </w:pPr>
            <w:r>
              <w:rPr>
                <w:rFonts w:hint="eastAsia" w:ascii="宋体" w:hAnsi="宋体"/>
                <w:color w:val="auto"/>
                <w:szCs w:val="21"/>
                <w:highlight w:val="none"/>
              </w:rPr>
              <w:t>内容完整，编制科学合理，指导性强，得</w:t>
            </w:r>
            <w:r>
              <w:rPr>
                <w:rFonts w:hint="eastAsia" w:ascii="宋体" w:hAnsi="宋体"/>
                <w:color w:val="auto"/>
                <w:szCs w:val="21"/>
                <w:highlight w:val="none"/>
                <w:lang w:val="en-US" w:eastAsia="zh-CN"/>
              </w:rPr>
              <w:t>4</w:t>
            </w:r>
            <w:r>
              <w:rPr>
                <w:rFonts w:ascii="宋体" w:hAnsi="宋体"/>
                <w:color w:val="auto"/>
                <w:szCs w:val="21"/>
                <w:highlight w:val="none"/>
              </w:rPr>
              <w:t>.0</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.0</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内容较完整，编制较合理，指导性较强，得</w:t>
            </w:r>
            <w:r>
              <w:rPr>
                <w:rFonts w:hint="eastAsia" w:ascii="宋体" w:hAnsi="宋体"/>
                <w:color w:val="auto"/>
                <w:szCs w:val="21"/>
                <w:highlight w:val="none"/>
                <w:lang w:val="en-US" w:eastAsia="zh-CN"/>
              </w:rPr>
              <w:t>3</w:t>
            </w:r>
            <w:r>
              <w:rPr>
                <w:rFonts w:ascii="宋体" w:hAnsi="宋体"/>
                <w:color w:val="auto"/>
                <w:szCs w:val="21"/>
                <w:highlight w:val="none"/>
              </w:rPr>
              <w:t>.0</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.0</w:t>
            </w:r>
            <w:r>
              <w:rPr>
                <w:rFonts w:hint="eastAsia" w:ascii="宋体" w:hAnsi="宋体"/>
                <w:color w:val="auto"/>
                <w:szCs w:val="21"/>
                <w:highlight w:val="none"/>
              </w:rPr>
              <w:t>分；</w:t>
            </w:r>
          </w:p>
          <w:p>
            <w:pPr>
              <w:rPr>
                <w:rFonts w:ascii="宋体" w:hAnsi="宋体"/>
                <w:color w:val="auto"/>
                <w:szCs w:val="21"/>
                <w:highlight w:val="none"/>
              </w:rPr>
            </w:pPr>
            <w:r>
              <w:rPr>
                <w:rFonts w:hint="eastAsia" w:ascii="宋体" w:hAnsi="宋体"/>
                <w:color w:val="auto"/>
                <w:szCs w:val="21"/>
                <w:highlight w:val="none"/>
              </w:rPr>
              <w:t>内容基本完整，编制基本合理，指导性一般，得</w:t>
            </w:r>
            <w:r>
              <w:rPr>
                <w:rFonts w:hint="eastAsia" w:ascii="宋体" w:hAnsi="宋体"/>
                <w:color w:val="auto"/>
                <w:szCs w:val="21"/>
                <w:highlight w:val="none"/>
                <w:lang w:val="en-US" w:eastAsia="zh-CN"/>
              </w:rPr>
              <w:t>3</w:t>
            </w:r>
            <w:r>
              <w:rPr>
                <w:rFonts w:ascii="宋体" w:hAnsi="宋体"/>
                <w:color w:val="auto"/>
                <w:szCs w:val="21"/>
                <w:highlight w:val="none"/>
              </w:rPr>
              <w:t>.0</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工期保证体系及保证措施</w:t>
            </w:r>
          </w:p>
        </w:tc>
        <w:tc>
          <w:tcPr>
            <w:tcW w:w="382" w:type="pct"/>
            <w:noWrap w:val="0"/>
            <w:vAlign w:val="center"/>
          </w:tcPr>
          <w:p>
            <w:pPr>
              <w:jc w:val="center"/>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分</w:t>
            </w:r>
          </w:p>
        </w:tc>
        <w:tc>
          <w:tcPr>
            <w:tcW w:w="2471" w:type="pct"/>
            <w:noWrap w:val="0"/>
            <w:vAlign w:val="top"/>
          </w:tcPr>
          <w:p>
            <w:pPr>
              <w:rPr>
                <w:rFonts w:ascii="宋体" w:hAnsi="宋体"/>
                <w:color w:val="auto"/>
                <w:szCs w:val="21"/>
                <w:highlight w:val="none"/>
              </w:rPr>
            </w:pPr>
            <w:r>
              <w:rPr>
                <w:rFonts w:hint="eastAsia" w:ascii="宋体" w:hAnsi="宋体"/>
                <w:color w:val="auto"/>
                <w:szCs w:val="21"/>
                <w:highlight w:val="none"/>
              </w:rPr>
              <w:t>措施完善，科学合理，实施性强，得</w:t>
            </w:r>
            <w:r>
              <w:rPr>
                <w:rFonts w:hint="eastAsia" w:ascii="宋体" w:hAnsi="宋体"/>
                <w:color w:val="auto"/>
                <w:szCs w:val="21"/>
                <w:highlight w:val="none"/>
                <w:lang w:val="en-US" w:eastAsia="zh-CN"/>
              </w:rPr>
              <w:t>1.6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p>
            <w:pPr>
              <w:pStyle w:val="4"/>
              <w:spacing w:after="0"/>
              <w:rPr>
                <w:rFonts w:ascii="宋体" w:hAnsi="宋体"/>
                <w:color w:val="auto"/>
                <w:szCs w:val="21"/>
                <w:highlight w:val="none"/>
              </w:rPr>
            </w:pPr>
            <w:r>
              <w:rPr>
                <w:rFonts w:hint="eastAsia" w:ascii="宋体" w:hAnsi="宋体"/>
                <w:color w:val="auto"/>
                <w:szCs w:val="21"/>
                <w:highlight w:val="none"/>
              </w:rPr>
              <w:t>措施较完善，措施较合理，实施性较强，得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p>
            <w:pPr>
              <w:pStyle w:val="4"/>
              <w:spacing w:after="0"/>
              <w:rPr>
                <w:rFonts w:ascii="宋体" w:hAnsi="宋体"/>
                <w:color w:val="auto"/>
                <w:szCs w:val="21"/>
                <w:highlight w:val="none"/>
              </w:rPr>
            </w:pPr>
            <w:r>
              <w:rPr>
                <w:rFonts w:hint="eastAsia" w:ascii="宋体" w:hAnsi="宋体"/>
                <w:color w:val="auto"/>
                <w:szCs w:val="21"/>
                <w:highlight w:val="none"/>
              </w:rPr>
              <w:t>措施基本完善，措施基本合理，实施性一般，得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hint="eastAsia" w:ascii="宋体" w:hAnsi="宋体"/>
                <w:color w:val="auto"/>
                <w:kern w:val="2"/>
                <w:sz w:val="21"/>
                <w:szCs w:val="21"/>
                <w:highlight w:val="none"/>
                <w:lang w:val="en-US" w:eastAsia="zh-CN" w:bidi="ar-SA"/>
              </w:rPr>
            </w:pPr>
            <w:r>
              <w:rPr>
                <w:rFonts w:hint="eastAsia" w:ascii="宋体" w:hAnsi="宋体" w:cs="宋体"/>
                <w:color w:val="auto"/>
                <w:kern w:val="0"/>
                <w:szCs w:val="21"/>
                <w:highlight w:val="none"/>
                <w:lang w:val="zh-CN"/>
              </w:rPr>
              <w:t>工程质量管理体系及保证措施</w:t>
            </w:r>
          </w:p>
        </w:tc>
        <w:tc>
          <w:tcPr>
            <w:tcW w:w="382" w:type="pct"/>
            <w:noWrap w:val="0"/>
            <w:vAlign w:val="center"/>
          </w:tcPr>
          <w:p>
            <w:pPr>
              <w:jc w:val="center"/>
              <w:rPr>
                <w:rFonts w:ascii="宋体" w:hAnsi="宋体"/>
                <w:color w:val="auto"/>
                <w:kern w:val="2"/>
                <w:sz w:val="21"/>
                <w:szCs w:val="24"/>
                <w:highlight w:val="none"/>
                <w:lang w:val="en-US" w:eastAsia="zh-CN" w:bidi="ar-SA"/>
              </w:rPr>
            </w:pPr>
            <w:r>
              <w:rPr>
                <w:rFonts w:hint="eastAsia" w:ascii="宋体" w:hAnsi="宋体"/>
                <w:color w:val="auto"/>
                <w:highlight w:val="none"/>
                <w:lang w:val="en-US" w:eastAsia="zh-CN"/>
              </w:rPr>
              <w:t>2</w:t>
            </w:r>
            <w:r>
              <w:rPr>
                <w:rFonts w:hint="eastAsia" w:ascii="宋体" w:hAnsi="宋体"/>
                <w:color w:val="auto"/>
                <w:highlight w:val="none"/>
              </w:rPr>
              <w:t>分</w:t>
            </w:r>
          </w:p>
        </w:tc>
        <w:tc>
          <w:tcPr>
            <w:tcW w:w="2471" w:type="pct"/>
            <w:noWrap w:val="0"/>
            <w:vAlign w:val="top"/>
          </w:tcPr>
          <w:p>
            <w:pPr>
              <w:rPr>
                <w:rFonts w:ascii="宋体" w:hAnsi="宋体"/>
                <w:color w:val="auto"/>
                <w:szCs w:val="21"/>
                <w:highlight w:val="none"/>
              </w:rPr>
            </w:pPr>
            <w:r>
              <w:rPr>
                <w:rFonts w:hint="eastAsia" w:ascii="宋体" w:hAnsi="宋体"/>
                <w:color w:val="auto"/>
                <w:szCs w:val="21"/>
                <w:highlight w:val="none"/>
              </w:rPr>
              <w:t>措施完善，科学合理，实施性强，得</w:t>
            </w:r>
            <w:r>
              <w:rPr>
                <w:rFonts w:hint="eastAsia" w:ascii="宋体" w:hAnsi="宋体"/>
                <w:color w:val="auto"/>
                <w:szCs w:val="21"/>
                <w:highlight w:val="none"/>
                <w:lang w:val="en-US" w:eastAsia="zh-CN"/>
              </w:rPr>
              <w:t>1.6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p>
            <w:pPr>
              <w:pStyle w:val="4"/>
              <w:spacing w:after="0"/>
              <w:rPr>
                <w:rFonts w:ascii="宋体" w:hAnsi="宋体"/>
                <w:color w:val="auto"/>
                <w:szCs w:val="21"/>
                <w:highlight w:val="none"/>
              </w:rPr>
            </w:pPr>
            <w:r>
              <w:rPr>
                <w:rFonts w:hint="eastAsia" w:ascii="宋体" w:hAnsi="宋体"/>
                <w:color w:val="auto"/>
                <w:szCs w:val="21"/>
                <w:highlight w:val="none"/>
              </w:rPr>
              <w:t>措施较完善，措施较合理，实施性较强，得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p>
            <w:pPr>
              <w:pStyle w:val="4"/>
              <w:spacing w:after="0"/>
              <w:rPr>
                <w:rFonts w:hint="eastAsia" w:ascii="宋体" w:hAnsi="宋体"/>
                <w:color w:val="auto"/>
                <w:kern w:val="2"/>
                <w:sz w:val="21"/>
                <w:szCs w:val="24"/>
                <w:highlight w:val="none"/>
                <w:lang w:val="en-US" w:eastAsia="zh-CN" w:bidi="ar-SA"/>
              </w:rPr>
            </w:pPr>
            <w:r>
              <w:rPr>
                <w:rFonts w:hint="eastAsia" w:ascii="宋体" w:hAnsi="宋体"/>
                <w:color w:val="auto"/>
                <w:szCs w:val="21"/>
                <w:highlight w:val="none"/>
              </w:rPr>
              <w:t>措施基本完善，措施基本合理，实施性一般，得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s="宋体"/>
                <w:color w:val="auto"/>
                <w:kern w:val="0"/>
                <w:szCs w:val="21"/>
                <w:highlight w:val="none"/>
                <w:lang w:val="zh-CN"/>
              </w:rPr>
              <w:t>安全生产管理体系及保证措施</w:t>
            </w:r>
          </w:p>
        </w:tc>
        <w:tc>
          <w:tcPr>
            <w:tcW w:w="382" w:type="pct"/>
            <w:noWrap w:val="0"/>
            <w:vAlign w:val="center"/>
          </w:tcPr>
          <w:p>
            <w:pPr>
              <w:jc w:val="center"/>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分</w:t>
            </w:r>
          </w:p>
        </w:tc>
        <w:tc>
          <w:tcPr>
            <w:tcW w:w="2471" w:type="pct"/>
            <w:noWrap w:val="0"/>
            <w:vAlign w:val="top"/>
          </w:tcPr>
          <w:p>
            <w:pPr>
              <w:rPr>
                <w:rFonts w:ascii="宋体" w:hAnsi="宋体"/>
                <w:color w:val="auto"/>
                <w:szCs w:val="21"/>
                <w:highlight w:val="none"/>
              </w:rPr>
            </w:pPr>
            <w:r>
              <w:rPr>
                <w:rFonts w:hint="eastAsia" w:ascii="宋体" w:hAnsi="宋体"/>
                <w:color w:val="auto"/>
                <w:szCs w:val="21"/>
                <w:highlight w:val="none"/>
              </w:rPr>
              <w:t>措施完善，科学合理，实施性强，得</w:t>
            </w:r>
            <w:r>
              <w:rPr>
                <w:rFonts w:hint="eastAsia" w:ascii="宋体" w:hAnsi="宋体"/>
                <w:color w:val="auto"/>
                <w:szCs w:val="21"/>
                <w:highlight w:val="none"/>
                <w:lang w:val="en-US" w:eastAsia="zh-CN"/>
              </w:rPr>
              <w:t>1.6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p>
            <w:pPr>
              <w:pStyle w:val="4"/>
              <w:spacing w:after="0"/>
              <w:rPr>
                <w:rFonts w:ascii="宋体" w:hAnsi="宋体"/>
                <w:color w:val="auto"/>
                <w:szCs w:val="21"/>
                <w:highlight w:val="none"/>
              </w:rPr>
            </w:pPr>
            <w:r>
              <w:rPr>
                <w:rFonts w:hint="eastAsia" w:ascii="宋体" w:hAnsi="宋体"/>
                <w:color w:val="auto"/>
                <w:szCs w:val="21"/>
                <w:highlight w:val="none"/>
              </w:rPr>
              <w:t>措施较完善，措施较合理，实施性较强，得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1.6</w:t>
            </w:r>
            <w:r>
              <w:rPr>
                <w:rFonts w:hint="eastAsia" w:ascii="宋体" w:hAnsi="宋体"/>
                <w:color w:val="auto"/>
                <w:szCs w:val="21"/>
                <w:highlight w:val="none"/>
              </w:rPr>
              <w:t>分。</w:t>
            </w:r>
          </w:p>
          <w:p>
            <w:pPr>
              <w:pStyle w:val="4"/>
              <w:spacing w:after="0"/>
              <w:rPr>
                <w:rFonts w:ascii="宋体" w:hAnsi="宋体"/>
                <w:color w:val="auto"/>
                <w:highlight w:val="none"/>
              </w:rPr>
            </w:pPr>
            <w:r>
              <w:rPr>
                <w:rFonts w:hint="eastAsia" w:ascii="宋体" w:hAnsi="宋体"/>
                <w:color w:val="auto"/>
                <w:szCs w:val="21"/>
                <w:highlight w:val="none"/>
              </w:rPr>
              <w:t>措施基本完善，措施基本合理，实施性一般，得</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s="宋体"/>
                <w:color w:val="auto"/>
                <w:kern w:val="0"/>
                <w:szCs w:val="21"/>
                <w:highlight w:val="none"/>
                <w:lang w:val="zh-CN"/>
              </w:rPr>
              <w:t>环境保护、水土保持保证、文明施工体系及保证措施</w:t>
            </w:r>
          </w:p>
        </w:tc>
        <w:tc>
          <w:tcPr>
            <w:tcW w:w="382" w:type="pct"/>
            <w:noWrap w:val="0"/>
            <w:vAlign w:val="center"/>
          </w:tcPr>
          <w:p>
            <w:pPr>
              <w:jc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分</w:t>
            </w:r>
          </w:p>
        </w:tc>
        <w:tc>
          <w:tcPr>
            <w:tcW w:w="2471" w:type="pct"/>
            <w:noWrap w:val="0"/>
            <w:vAlign w:val="center"/>
          </w:tcPr>
          <w:p>
            <w:pPr>
              <w:rPr>
                <w:rFonts w:ascii="宋体" w:hAnsi="宋体"/>
                <w:color w:val="auto"/>
                <w:szCs w:val="21"/>
                <w:highlight w:val="none"/>
              </w:rPr>
            </w:pPr>
            <w:r>
              <w:rPr>
                <w:rFonts w:hint="eastAsia" w:ascii="宋体" w:hAnsi="宋体"/>
                <w:color w:val="auto"/>
                <w:szCs w:val="21"/>
                <w:highlight w:val="none"/>
              </w:rPr>
              <w:t>措施完善，科学合理，实施性强，得</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.0分；</w:t>
            </w:r>
          </w:p>
          <w:p>
            <w:pPr>
              <w:pStyle w:val="4"/>
              <w:spacing w:after="0"/>
              <w:rPr>
                <w:rFonts w:ascii="宋体" w:hAnsi="宋体"/>
                <w:color w:val="auto"/>
                <w:szCs w:val="21"/>
                <w:highlight w:val="none"/>
              </w:rPr>
            </w:pPr>
            <w:r>
              <w:rPr>
                <w:rFonts w:hint="eastAsia" w:ascii="宋体" w:hAnsi="宋体"/>
                <w:color w:val="auto"/>
                <w:szCs w:val="21"/>
                <w:highlight w:val="none"/>
              </w:rPr>
              <w:t>措施较完善，措施较合理，实施性较强，得</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分；</w:t>
            </w:r>
          </w:p>
          <w:p>
            <w:pPr>
              <w:pStyle w:val="4"/>
              <w:spacing w:after="0"/>
              <w:rPr>
                <w:rFonts w:ascii="宋体" w:hAnsi="宋体"/>
                <w:color w:val="auto"/>
                <w:szCs w:val="21"/>
                <w:highlight w:val="none"/>
              </w:rPr>
            </w:pPr>
            <w:r>
              <w:rPr>
                <w:rFonts w:hint="eastAsia" w:ascii="宋体" w:hAnsi="宋体"/>
                <w:color w:val="auto"/>
                <w:szCs w:val="21"/>
                <w:highlight w:val="none"/>
              </w:rPr>
              <w:t>措施基本完善，措施基本合理，实施性一般，得</w:t>
            </w:r>
            <w:r>
              <w:rPr>
                <w:rFonts w:ascii="宋体" w:hAnsi="宋体"/>
                <w:color w:val="auto"/>
                <w:szCs w:val="21"/>
                <w:highlight w:val="none"/>
              </w:rPr>
              <w:t>1.2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398" w:type="pct"/>
            <w:vMerge w:val="continue"/>
            <w:noWrap w:val="0"/>
            <w:vAlign w:val="center"/>
          </w:tcPr>
          <w:p>
            <w:pPr>
              <w:pStyle w:val="3"/>
              <w:spacing w:line="160" w:lineRule="atLeast"/>
              <w:jc w:val="center"/>
              <w:rPr>
                <w:rFonts w:ascii="宋体" w:hAnsi="宋体"/>
                <w:color w:val="auto"/>
                <w:highlight w:val="none"/>
              </w:rPr>
            </w:pPr>
          </w:p>
        </w:tc>
        <w:tc>
          <w:tcPr>
            <w:tcW w:w="505" w:type="pct"/>
            <w:vMerge w:val="continue"/>
            <w:noWrap w:val="0"/>
            <w:vAlign w:val="center"/>
          </w:tcPr>
          <w:p>
            <w:pPr>
              <w:pStyle w:val="3"/>
              <w:spacing w:line="160" w:lineRule="atLeast"/>
              <w:jc w:val="center"/>
              <w:rPr>
                <w:rFonts w:ascii="宋体" w:hAnsi="宋体"/>
                <w:color w:val="auto"/>
                <w:highlight w:val="none"/>
              </w:rPr>
            </w:pPr>
          </w:p>
        </w:tc>
        <w:tc>
          <w:tcPr>
            <w:tcW w:w="409" w:type="pct"/>
            <w:vMerge w:val="continue"/>
            <w:noWrap w:val="0"/>
            <w:vAlign w:val="center"/>
          </w:tcPr>
          <w:p>
            <w:pPr>
              <w:pStyle w:val="3"/>
              <w:spacing w:line="160" w:lineRule="atLeast"/>
              <w:jc w:val="center"/>
              <w:rPr>
                <w:rFonts w:ascii="宋体" w:hAnsi="宋体"/>
                <w:color w:val="auto"/>
                <w:highlight w:val="none"/>
              </w:rPr>
            </w:pPr>
          </w:p>
        </w:tc>
        <w:tc>
          <w:tcPr>
            <w:tcW w:w="832" w:type="pct"/>
            <w:noWrap w:val="0"/>
            <w:vAlign w:val="center"/>
          </w:tcPr>
          <w:p>
            <w:pPr>
              <w:jc w:val="center"/>
              <w:rPr>
                <w:rFonts w:ascii="宋体" w:hAnsi="宋体"/>
                <w:color w:val="auto"/>
                <w:szCs w:val="21"/>
                <w:highlight w:val="none"/>
              </w:rPr>
            </w:pPr>
            <w:r>
              <w:rPr>
                <w:rFonts w:hint="eastAsia" w:ascii="宋体" w:hAnsi="宋体" w:cs="宋体"/>
                <w:color w:val="auto"/>
                <w:kern w:val="0"/>
                <w:szCs w:val="21"/>
                <w:highlight w:val="none"/>
                <w:lang w:val="zh-CN"/>
              </w:rPr>
              <w:t>项目风险预测与防范，事故应急预案</w:t>
            </w:r>
          </w:p>
        </w:tc>
        <w:tc>
          <w:tcPr>
            <w:tcW w:w="382" w:type="pct"/>
            <w:noWrap w:val="0"/>
            <w:vAlign w:val="center"/>
          </w:tcPr>
          <w:p>
            <w:pPr>
              <w:jc w:val="center"/>
              <w:rPr>
                <w:rFonts w:ascii="宋体" w:hAnsi="宋体"/>
                <w:color w:val="auto"/>
                <w:highlight w:val="none"/>
              </w:rPr>
            </w:pPr>
            <w:r>
              <w:rPr>
                <w:rFonts w:ascii="宋体" w:hAnsi="宋体"/>
                <w:color w:val="auto"/>
                <w:highlight w:val="none"/>
              </w:rPr>
              <w:t>2</w:t>
            </w:r>
            <w:r>
              <w:rPr>
                <w:rFonts w:hint="eastAsia" w:ascii="宋体" w:hAnsi="宋体"/>
                <w:color w:val="auto"/>
                <w:highlight w:val="none"/>
              </w:rPr>
              <w:t>分</w:t>
            </w:r>
          </w:p>
        </w:tc>
        <w:tc>
          <w:tcPr>
            <w:tcW w:w="2471" w:type="pct"/>
            <w:noWrap w:val="0"/>
            <w:vAlign w:val="center"/>
          </w:tcPr>
          <w:p>
            <w:pPr>
              <w:rPr>
                <w:rFonts w:ascii="宋体" w:hAnsi="宋体"/>
                <w:color w:val="auto"/>
                <w:szCs w:val="21"/>
                <w:highlight w:val="none"/>
              </w:rPr>
            </w:pPr>
            <w:r>
              <w:rPr>
                <w:rFonts w:hint="eastAsia" w:ascii="宋体" w:hAnsi="宋体"/>
                <w:color w:val="auto"/>
                <w:szCs w:val="21"/>
                <w:highlight w:val="none"/>
              </w:rPr>
              <w:t>方案完善，科学合理，实施性强，得</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.0分；</w:t>
            </w:r>
          </w:p>
          <w:p>
            <w:pPr>
              <w:pStyle w:val="4"/>
              <w:spacing w:after="0"/>
              <w:rPr>
                <w:rFonts w:ascii="宋体" w:hAnsi="宋体"/>
                <w:color w:val="auto"/>
                <w:szCs w:val="21"/>
                <w:highlight w:val="none"/>
              </w:rPr>
            </w:pPr>
            <w:r>
              <w:rPr>
                <w:rFonts w:hint="eastAsia" w:ascii="宋体" w:hAnsi="宋体"/>
                <w:color w:val="auto"/>
                <w:szCs w:val="21"/>
                <w:highlight w:val="none"/>
              </w:rPr>
              <w:t>方案较完善，措施较合理，实施性较强，得</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分；</w:t>
            </w:r>
          </w:p>
          <w:p>
            <w:pPr>
              <w:pStyle w:val="4"/>
              <w:spacing w:after="0"/>
              <w:rPr>
                <w:rFonts w:ascii="宋体" w:hAnsi="宋体"/>
                <w:color w:val="auto"/>
                <w:szCs w:val="21"/>
                <w:highlight w:val="none"/>
              </w:rPr>
            </w:pPr>
            <w:r>
              <w:rPr>
                <w:rFonts w:hint="eastAsia" w:ascii="宋体" w:hAnsi="宋体"/>
                <w:color w:val="auto"/>
                <w:szCs w:val="21"/>
                <w:highlight w:val="none"/>
              </w:rPr>
              <w:t>方案基本完善，措施基本合理，实施性一般，得</w:t>
            </w:r>
            <w:r>
              <w:rPr>
                <w:rFonts w:ascii="宋体" w:hAnsi="宋体"/>
                <w:color w:val="auto"/>
                <w:szCs w:val="21"/>
                <w:highlight w:val="none"/>
              </w:rPr>
              <w:t>1.2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98"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2.2.4（</w:t>
            </w:r>
            <w:r>
              <w:rPr>
                <w:rFonts w:ascii="宋体" w:hAnsi="宋体"/>
                <w:color w:val="auto"/>
                <w:szCs w:val="21"/>
                <w:highlight w:val="none"/>
              </w:rPr>
              <w:t>3</w:t>
            </w:r>
            <w:r>
              <w:rPr>
                <w:rFonts w:hint="eastAsia" w:ascii="宋体" w:hAnsi="宋体"/>
                <w:color w:val="auto"/>
                <w:szCs w:val="21"/>
                <w:highlight w:val="none"/>
              </w:rPr>
              <w:t>）</w:t>
            </w:r>
          </w:p>
        </w:tc>
        <w:tc>
          <w:tcPr>
            <w:tcW w:w="505"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项目管理机构</w:t>
            </w:r>
          </w:p>
        </w:tc>
        <w:tc>
          <w:tcPr>
            <w:tcW w:w="409" w:type="pct"/>
            <w:vMerge w:val="restart"/>
            <w:noWrap w:val="0"/>
            <w:vAlign w:val="center"/>
          </w:tcPr>
          <w:p>
            <w:pPr>
              <w:spacing w:line="320" w:lineRule="exact"/>
              <w:jc w:val="cente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分</w:t>
            </w:r>
          </w:p>
        </w:tc>
        <w:tc>
          <w:tcPr>
            <w:tcW w:w="832" w:type="pct"/>
            <w:vMerge w:val="restart"/>
            <w:noWrap w:val="0"/>
            <w:vAlign w:val="center"/>
          </w:tcPr>
          <w:p>
            <w:pPr>
              <w:spacing w:line="288"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rPr>
              <w:t>项目经理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兼施工负责人</w:t>
            </w:r>
            <w:r>
              <w:rPr>
                <w:rFonts w:hint="eastAsia" w:ascii="宋体" w:hAnsi="宋体"/>
                <w:color w:val="auto"/>
                <w:szCs w:val="21"/>
                <w:highlight w:val="none"/>
                <w:lang w:eastAsia="zh-CN"/>
              </w:rPr>
              <w:t>）</w:t>
            </w:r>
          </w:p>
        </w:tc>
        <w:tc>
          <w:tcPr>
            <w:tcW w:w="382" w:type="pct"/>
            <w:vMerge w:val="restart"/>
            <w:noWrap w:val="0"/>
            <w:vAlign w:val="center"/>
          </w:tcPr>
          <w:p>
            <w:pPr>
              <w:jc w:val="center"/>
              <w:rPr>
                <w:rFonts w:ascii="宋体" w:hAnsi="宋体"/>
                <w:color w:val="auto"/>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分</w:t>
            </w:r>
          </w:p>
        </w:tc>
        <w:tc>
          <w:tcPr>
            <w:tcW w:w="2471" w:type="pct"/>
            <w:noWrap w:val="0"/>
            <w:vAlign w:val="center"/>
          </w:tcPr>
          <w:p>
            <w:pPr>
              <w:spacing w:line="36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满足资格审查条件最低要求，得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8" w:type="pct"/>
            <w:vMerge w:val="continue"/>
            <w:noWrap w:val="0"/>
            <w:vAlign w:val="center"/>
          </w:tcPr>
          <w:p>
            <w:pPr>
              <w:spacing w:line="320" w:lineRule="exact"/>
              <w:jc w:val="center"/>
              <w:rPr>
                <w:rFonts w:hint="eastAsia" w:ascii="宋体" w:hAnsi="宋体"/>
                <w:color w:val="auto"/>
                <w:szCs w:val="21"/>
                <w:highlight w:val="none"/>
              </w:rPr>
            </w:pPr>
          </w:p>
        </w:tc>
        <w:tc>
          <w:tcPr>
            <w:tcW w:w="505" w:type="pct"/>
            <w:vMerge w:val="continue"/>
            <w:noWrap w:val="0"/>
            <w:vAlign w:val="center"/>
          </w:tcPr>
          <w:p>
            <w:pPr>
              <w:spacing w:line="320" w:lineRule="exact"/>
              <w:jc w:val="center"/>
              <w:rPr>
                <w:rFonts w:hint="eastAsia" w:ascii="宋体" w:hAnsi="宋体"/>
                <w:color w:val="auto"/>
                <w:szCs w:val="21"/>
                <w:highlight w:val="none"/>
              </w:rPr>
            </w:pPr>
          </w:p>
        </w:tc>
        <w:tc>
          <w:tcPr>
            <w:tcW w:w="409" w:type="pct"/>
            <w:vMerge w:val="continue"/>
            <w:noWrap w:val="0"/>
            <w:vAlign w:val="center"/>
          </w:tcPr>
          <w:p>
            <w:pPr>
              <w:spacing w:line="320" w:lineRule="exact"/>
              <w:jc w:val="center"/>
              <w:rPr>
                <w:rFonts w:ascii="宋体" w:hAnsi="宋体"/>
                <w:color w:val="auto"/>
                <w:szCs w:val="21"/>
                <w:highlight w:val="none"/>
              </w:rPr>
            </w:pPr>
          </w:p>
        </w:tc>
        <w:tc>
          <w:tcPr>
            <w:tcW w:w="832" w:type="pct"/>
            <w:vMerge w:val="continue"/>
            <w:noWrap w:val="0"/>
            <w:vAlign w:val="center"/>
          </w:tcPr>
          <w:p>
            <w:pPr>
              <w:spacing w:line="288" w:lineRule="auto"/>
              <w:jc w:val="center"/>
              <w:rPr>
                <w:rFonts w:hint="eastAsia" w:ascii="宋体" w:hAnsi="宋体"/>
                <w:color w:val="auto"/>
                <w:szCs w:val="21"/>
                <w:highlight w:val="none"/>
              </w:rPr>
            </w:pPr>
          </w:p>
        </w:tc>
        <w:tc>
          <w:tcPr>
            <w:tcW w:w="382" w:type="pct"/>
            <w:vMerge w:val="continue"/>
            <w:noWrap w:val="0"/>
            <w:vAlign w:val="center"/>
          </w:tcPr>
          <w:p>
            <w:pPr>
              <w:jc w:val="center"/>
              <w:rPr>
                <w:rFonts w:ascii="宋体" w:hAnsi="宋体"/>
                <w:color w:val="auto"/>
                <w:szCs w:val="21"/>
                <w:highlight w:val="none"/>
              </w:rPr>
            </w:pPr>
          </w:p>
        </w:tc>
        <w:tc>
          <w:tcPr>
            <w:tcW w:w="2471" w:type="pct"/>
            <w:noWrap w:val="0"/>
            <w:vAlign w:val="center"/>
          </w:tcPr>
          <w:p>
            <w:pPr>
              <w:snapToGrid w:val="0"/>
              <w:spacing w:line="340" w:lineRule="exact"/>
              <w:jc w:val="left"/>
              <w:rPr>
                <w:rFonts w:hint="eastAsia" w:ascii="宋体" w:hAnsi="宋体"/>
                <w:color w:val="auto"/>
                <w:szCs w:val="21"/>
                <w:highlight w:val="none"/>
              </w:rPr>
            </w:pPr>
            <w:r>
              <w:rPr>
                <w:rFonts w:hint="eastAsia" w:ascii="宋体" w:hAnsi="宋体"/>
                <w:color w:val="auto"/>
                <w:szCs w:val="21"/>
                <w:highlight w:val="none"/>
              </w:rPr>
              <w:t>每增加1项满足资格审查条件的业绩，</w:t>
            </w:r>
            <w:r>
              <w:rPr>
                <w:rFonts w:hint="eastAsia" w:ascii="宋体" w:hAnsi="宋体"/>
                <w:color w:val="auto"/>
                <w:szCs w:val="21"/>
                <w:highlight w:val="none"/>
                <w:lang w:val="en-US" w:eastAsia="zh-CN"/>
              </w:rPr>
              <w:t>加2</w:t>
            </w:r>
            <w:r>
              <w:rPr>
                <w:rFonts w:hint="eastAsia" w:ascii="宋体" w:hAnsi="宋体"/>
                <w:color w:val="auto"/>
                <w:szCs w:val="21"/>
                <w:highlight w:val="none"/>
              </w:rPr>
              <w:t>分</w:t>
            </w:r>
            <w:r>
              <w:rPr>
                <w:rFonts w:ascii="宋体" w:hAnsi="宋体"/>
                <w:color w:val="auto"/>
                <w:szCs w:val="21"/>
                <w:highlight w:val="none"/>
              </w:rPr>
              <w:t>，</w:t>
            </w:r>
            <w:r>
              <w:rPr>
                <w:rFonts w:hint="eastAsia" w:ascii="宋体" w:hAnsi="宋体"/>
                <w:color w:val="auto"/>
                <w:szCs w:val="21"/>
                <w:highlight w:val="none"/>
              </w:rPr>
              <w:t>最高</w:t>
            </w:r>
            <w:r>
              <w:rPr>
                <w:rFonts w:hint="eastAsia" w:ascii="宋体" w:hAnsi="宋体"/>
                <w:color w:val="auto"/>
                <w:szCs w:val="21"/>
                <w:highlight w:val="none"/>
                <w:lang w:val="en-US" w:eastAsia="zh-CN"/>
              </w:rPr>
              <w:t>加2</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98"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2.2.4（</w:t>
            </w:r>
            <w:r>
              <w:rPr>
                <w:rFonts w:ascii="宋体" w:hAnsi="宋体"/>
                <w:color w:val="auto"/>
                <w:szCs w:val="21"/>
                <w:highlight w:val="none"/>
              </w:rPr>
              <w:t>4</w:t>
            </w:r>
            <w:r>
              <w:rPr>
                <w:rFonts w:hint="eastAsia" w:ascii="宋体" w:hAnsi="宋体"/>
                <w:color w:val="auto"/>
                <w:szCs w:val="21"/>
                <w:highlight w:val="none"/>
              </w:rPr>
              <w:t>）</w:t>
            </w:r>
          </w:p>
        </w:tc>
        <w:tc>
          <w:tcPr>
            <w:tcW w:w="505"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rPr>
              <w:t>业绩</w:t>
            </w:r>
          </w:p>
        </w:tc>
        <w:tc>
          <w:tcPr>
            <w:tcW w:w="409" w:type="pct"/>
            <w:vMerge w:val="restart"/>
            <w:noWrap w:val="0"/>
            <w:vAlign w:val="center"/>
          </w:tcPr>
          <w:p>
            <w:pPr>
              <w:spacing w:line="320" w:lineRule="exact"/>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832" w:type="pct"/>
            <w:vMerge w:val="restart"/>
            <w:noWrap w:val="0"/>
            <w:vAlign w:val="center"/>
          </w:tcPr>
          <w:p>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类似</w:t>
            </w:r>
            <w:r>
              <w:rPr>
                <w:rFonts w:ascii="宋体" w:hAnsi="宋体" w:cs="宋体"/>
                <w:color w:val="auto"/>
                <w:szCs w:val="21"/>
                <w:highlight w:val="none"/>
              </w:rPr>
              <w:t>工程业绩</w:t>
            </w:r>
          </w:p>
        </w:tc>
        <w:tc>
          <w:tcPr>
            <w:tcW w:w="382" w:type="pct"/>
            <w:vMerge w:val="restart"/>
            <w:noWrap w:val="0"/>
            <w:vAlign w:val="center"/>
          </w:tcPr>
          <w:p>
            <w:pPr>
              <w:jc w:val="center"/>
              <w:rPr>
                <w:rFonts w:ascii="宋体" w:hAnsi="宋体"/>
                <w:color w:val="auto"/>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2471" w:type="pct"/>
            <w:noWrap w:val="0"/>
            <w:vAlign w:val="center"/>
          </w:tcPr>
          <w:p>
            <w:pPr>
              <w:rPr>
                <w:rFonts w:hint="eastAsia" w:ascii="宋体" w:hAnsi="宋体"/>
                <w:color w:val="auto"/>
                <w:szCs w:val="21"/>
                <w:highlight w:val="none"/>
              </w:rPr>
            </w:pPr>
            <w:r>
              <w:rPr>
                <w:rFonts w:hint="eastAsia" w:ascii="宋体" w:hAnsi="宋体"/>
                <w:color w:val="auto"/>
                <w:szCs w:val="21"/>
                <w:highlight w:val="none"/>
              </w:rPr>
              <w:t>满足资格审查条件业绩最低要求，得</w:t>
            </w:r>
            <w:r>
              <w:rPr>
                <w:rFonts w:ascii="宋体" w:hAnsi="宋体"/>
                <w:color w:val="auto"/>
                <w:szCs w:val="21"/>
                <w:highlight w:val="none"/>
              </w:rPr>
              <w:t>6</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98" w:type="pct"/>
            <w:vMerge w:val="continue"/>
            <w:noWrap w:val="0"/>
            <w:vAlign w:val="center"/>
          </w:tcPr>
          <w:p>
            <w:pPr>
              <w:spacing w:line="320" w:lineRule="exact"/>
              <w:jc w:val="center"/>
              <w:rPr>
                <w:rFonts w:hint="eastAsia" w:ascii="宋体" w:hAnsi="宋体"/>
                <w:color w:val="auto"/>
                <w:szCs w:val="21"/>
                <w:highlight w:val="none"/>
              </w:rPr>
            </w:pPr>
          </w:p>
        </w:tc>
        <w:tc>
          <w:tcPr>
            <w:tcW w:w="505" w:type="pct"/>
            <w:vMerge w:val="continue"/>
            <w:noWrap w:val="0"/>
            <w:vAlign w:val="center"/>
          </w:tcPr>
          <w:p>
            <w:pPr>
              <w:spacing w:line="320" w:lineRule="exact"/>
              <w:jc w:val="center"/>
              <w:rPr>
                <w:rFonts w:hint="eastAsia" w:ascii="宋体" w:hAnsi="宋体"/>
                <w:color w:val="auto"/>
                <w:szCs w:val="21"/>
                <w:highlight w:val="none"/>
              </w:rPr>
            </w:pPr>
          </w:p>
        </w:tc>
        <w:tc>
          <w:tcPr>
            <w:tcW w:w="409" w:type="pct"/>
            <w:vMerge w:val="continue"/>
            <w:noWrap w:val="0"/>
            <w:vAlign w:val="center"/>
          </w:tcPr>
          <w:p>
            <w:pPr>
              <w:spacing w:line="320" w:lineRule="exact"/>
              <w:jc w:val="center"/>
              <w:rPr>
                <w:rFonts w:ascii="宋体" w:hAnsi="宋体"/>
                <w:color w:val="auto"/>
                <w:szCs w:val="21"/>
                <w:highlight w:val="none"/>
              </w:rPr>
            </w:pPr>
          </w:p>
        </w:tc>
        <w:tc>
          <w:tcPr>
            <w:tcW w:w="832" w:type="pct"/>
            <w:vMerge w:val="continue"/>
            <w:noWrap w:val="0"/>
            <w:vAlign w:val="center"/>
          </w:tcPr>
          <w:p>
            <w:pPr>
              <w:adjustRightInd w:val="0"/>
              <w:snapToGrid w:val="0"/>
              <w:spacing w:line="400" w:lineRule="exact"/>
              <w:jc w:val="center"/>
              <w:rPr>
                <w:rFonts w:hint="eastAsia" w:ascii="宋体" w:hAnsi="宋体" w:cs="宋体"/>
                <w:color w:val="auto"/>
                <w:szCs w:val="21"/>
                <w:highlight w:val="none"/>
              </w:rPr>
            </w:pPr>
          </w:p>
        </w:tc>
        <w:tc>
          <w:tcPr>
            <w:tcW w:w="382" w:type="pct"/>
            <w:vMerge w:val="continue"/>
            <w:noWrap w:val="0"/>
            <w:vAlign w:val="center"/>
          </w:tcPr>
          <w:p>
            <w:pPr>
              <w:jc w:val="center"/>
              <w:rPr>
                <w:rFonts w:ascii="宋体" w:hAnsi="宋体" w:cs="宋体"/>
                <w:color w:val="auto"/>
                <w:szCs w:val="21"/>
                <w:highlight w:val="none"/>
              </w:rPr>
            </w:pPr>
          </w:p>
        </w:tc>
        <w:tc>
          <w:tcPr>
            <w:tcW w:w="2471" w:type="pct"/>
            <w:noWrap w:val="0"/>
            <w:vAlign w:val="center"/>
          </w:tcPr>
          <w:p>
            <w:pPr>
              <w:rPr>
                <w:rFonts w:ascii="宋体" w:hAnsi="宋体"/>
                <w:color w:val="auto"/>
                <w:szCs w:val="21"/>
                <w:highlight w:val="none"/>
              </w:rPr>
            </w:pPr>
            <w:r>
              <w:rPr>
                <w:rFonts w:hint="eastAsia" w:ascii="宋体" w:hAnsi="宋体"/>
                <w:color w:val="auto"/>
                <w:szCs w:val="21"/>
                <w:highlight w:val="none"/>
              </w:rPr>
              <w:t>每增加1项满足资格审查条件</w:t>
            </w:r>
            <w:r>
              <w:rPr>
                <w:rFonts w:hint="eastAsia" w:ascii="宋体" w:hAnsi="宋体"/>
                <w:color w:val="auto"/>
                <w:szCs w:val="21"/>
                <w:highlight w:val="none"/>
                <w:lang w:val="en-US" w:eastAsia="zh-CN"/>
              </w:rPr>
              <w:t>的</w:t>
            </w:r>
            <w:r>
              <w:rPr>
                <w:rFonts w:hint="eastAsia" w:ascii="宋体" w:hAnsi="宋体"/>
                <w:color w:val="auto"/>
                <w:szCs w:val="21"/>
                <w:highlight w:val="none"/>
              </w:rPr>
              <w:t>设计业绩加</w:t>
            </w:r>
            <w:r>
              <w:rPr>
                <w:rFonts w:hint="eastAsia" w:ascii="宋体" w:hAnsi="宋体"/>
                <w:color w:val="auto"/>
                <w:szCs w:val="21"/>
                <w:highlight w:val="none"/>
                <w:lang w:val="en-US" w:eastAsia="zh-CN"/>
              </w:rPr>
              <w:t>2</w:t>
            </w:r>
            <w:r>
              <w:rPr>
                <w:rFonts w:hint="eastAsia" w:ascii="宋体" w:hAnsi="宋体"/>
                <w:color w:val="auto"/>
                <w:szCs w:val="21"/>
                <w:highlight w:val="none"/>
              </w:rPr>
              <w:t>分，最多加</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rPr>
                <w:rFonts w:hint="eastAsia" w:ascii="宋体" w:hAnsi="宋体"/>
                <w:color w:val="auto"/>
                <w:szCs w:val="21"/>
                <w:highlight w:val="none"/>
              </w:rPr>
            </w:pPr>
            <w:r>
              <w:rPr>
                <w:rFonts w:hint="eastAsia" w:ascii="宋体" w:hAnsi="宋体"/>
                <w:color w:val="auto"/>
                <w:szCs w:val="21"/>
                <w:highlight w:val="none"/>
              </w:rPr>
              <w:t>每增加1项满足资格审查条件</w:t>
            </w:r>
            <w:r>
              <w:rPr>
                <w:rFonts w:hint="eastAsia" w:ascii="宋体" w:hAnsi="宋体"/>
                <w:color w:val="auto"/>
                <w:szCs w:val="21"/>
                <w:highlight w:val="none"/>
                <w:lang w:val="en-US" w:eastAsia="zh-CN"/>
              </w:rPr>
              <w:t>的</w:t>
            </w:r>
            <w:r>
              <w:rPr>
                <w:rFonts w:hint="eastAsia" w:ascii="宋体" w:hAnsi="宋体"/>
                <w:color w:val="auto"/>
                <w:szCs w:val="21"/>
                <w:highlight w:val="none"/>
              </w:rPr>
              <w:t>施工业绩加</w:t>
            </w:r>
            <w:r>
              <w:rPr>
                <w:rFonts w:hint="eastAsia" w:ascii="宋体" w:hAnsi="宋体"/>
                <w:color w:val="auto"/>
                <w:szCs w:val="21"/>
                <w:highlight w:val="none"/>
                <w:lang w:val="en-US" w:eastAsia="zh-CN"/>
              </w:rPr>
              <w:t>2</w:t>
            </w:r>
            <w:r>
              <w:rPr>
                <w:rFonts w:hint="eastAsia" w:ascii="宋体" w:hAnsi="宋体"/>
                <w:color w:val="auto"/>
                <w:szCs w:val="21"/>
                <w:highlight w:val="none"/>
              </w:rPr>
              <w:t>分，最多加</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rPr>
                <w:rFonts w:hint="eastAsia" w:ascii="宋体" w:hAnsi="宋体"/>
                <w:color w:val="auto"/>
                <w:szCs w:val="21"/>
                <w:highlight w:val="none"/>
              </w:rPr>
            </w:pPr>
            <w:r>
              <w:rPr>
                <w:rFonts w:hint="eastAsia" w:ascii="宋体" w:hAnsi="宋体"/>
                <w:color w:val="auto"/>
                <w:szCs w:val="21"/>
                <w:highlight w:val="none"/>
                <w:lang w:val="en-US" w:eastAsia="zh-CN"/>
              </w:rPr>
              <w:t>注：1项业绩同时满足设计和施工业绩要求的，可以分别加分。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98" w:type="pct"/>
            <w:noWrap w:val="0"/>
            <w:vAlign w:val="center"/>
          </w:tcPr>
          <w:p>
            <w:pPr>
              <w:spacing w:line="320" w:lineRule="exact"/>
              <w:jc w:val="center"/>
              <w:rPr>
                <w:rFonts w:ascii="宋体" w:hAnsi="宋体" w:cs="宋体"/>
                <w:color w:val="auto"/>
                <w:kern w:val="0"/>
                <w:szCs w:val="21"/>
                <w:highlight w:val="none"/>
                <w:lang w:val="zh-CN"/>
              </w:rPr>
            </w:pPr>
            <w:r>
              <w:rPr>
                <w:rFonts w:hint="eastAsia" w:ascii="宋体" w:hAnsi="宋体"/>
                <w:color w:val="auto"/>
                <w:szCs w:val="21"/>
                <w:highlight w:val="none"/>
              </w:rPr>
              <w:t>2.2.4（</w:t>
            </w:r>
            <w:r>
              <w:rPr>
                <w:rFonts w:ascii="宋体" w:hAnsi="宋体"/>
                <w:color w:val="auto"/>
                <w:szCs w:val="21"/>
                <w:highlight w:val="none"/>
              </w:rPr>
              <w:t>5</w:t>
            </w:r>
            <w:r>
              <w:rPr>
                <w:rFonts w:hint="eastAsia" w:ascii="宋体" w:hAnsi="宋体"/>
                <w:color w:val="auto"/>
                <w:szCs w:val="21"/>
                <w:highlight w:val="none"/>
              </w:rPr>
              <w:t>）</w:t>
            </w:r>
          </w:p>
        </w:tc>
        <w:tc>
          <w:tcPr>
            <w:tcW w:w="505" w:type="pct"/>
            <w:noWrap w:val="0"/>
            <w:vAlign w:val="center"/>
          </w:tcPr>
          <w:p>
            <w:pPr>
              <w:spacing w:line="320" w:lineRule="exact"/>
              <w:jc w:val="center"/>
              <w:rPr>
                <w:rFonts w:ascii="宋体" w:hAnsi="宋体" w:cs="宋体"/>
                <w:color w:val="auto"/>
                <w:kern w:val="0"/>
                <w:szCs w:val="21"/>
                <w:highlight w:val="none"/>
                <w:lang w:val="zh-CN"/>
              </w:rPr>
            </w:pPr>
            <w:r>
              <w:rPr>
                <w:rFonts w:ascii="宋体" w:hAnsi="宋体"/>
                <w:color w:val="auto"/>
                <w:szCs w:val="21"/>
                <w:highlight w:val="none"/>
              </w:rPr>
              <w:t>评标价</w:t>
            </w:r>
          </w:p>
        </w:tc>
        <w:tc>
          <w:tcPr>
            <w:tcW w:w="409" w:type="pct"/>
            <w:noWrap w:val="0"/>
            <w:vAlign w:val="center"/>
          </w:tcPr>
          <w:p>
            <w:pPr>
              <w:spacing w:line="320" w:lineRule="exact"/>
              <w:jc w:val="center"/>
              <w:rPr>
                <w:rFonts w:ascii="宋体" w:hAnsi="宋体" w:cs="宋体"/>
                <w:color w:val="auto"/>
                <w:kern w:val="0"/>
                <w:szCs w:val="21"/>
                <w:highlight w:val="none"/>
                <w:lang w:val="zh-CN"/>
              </w:rPr>
            </w:pPr>
            <w:r>
              <w:rPr>
                <w:rFonts w:hint="eastAsia" w:ascii="宋体" w:hAnsi="宋体"/>
                <w:color w:val="auto"/>
                <w:szCs w:val="21"/>
                <w:highlight w:val="none"/>
              </w:rPr>
              <w:t>50分</w:t>
            </w:r>
          </w:p>
        </w:tc>
        <w:tc>
          <w:tcPr>
            <w:tcW w:w="3687" w:type="pct"/>
            <w:gridSpan w:val="3"/>
            <w:noWrap w:val="0"/>
            <w:vAlign w:val="center"/>
          </w:tcPr>
          <w:p>
            <w:pPr>
              <w:pStyle w:val="4"/>
              <w:rPr>
                <w:rFonts w:ascii="宋体" w:hAnsi="宋体"/>
                <w:color w:val="auto"/>
                <w:highlight w:val="none"/>
              </w:rPr>
            </w:pPr>
            <w:r>
              <w:rPr>
                <w:rFonts w:hint="eastAsia" w:ascii="宋体" w:hAnsi="宋体"/>
                <w:b/>
                <w:color w:val="auto"/>
                <w:szCs w:val="21"/>
                <w:highlight w:val="none"/>
              </w:rPr>
              <w:t>评标价得分计算公式：</w:t>
            </w:r>
          </w:p>
          <w:p>
            <w:pPr>
              <w:tabs>
                <w:tab w:val="left" w:pos="3060"/>
              </w:tabs>
              <w:rPr>
                <w:rFonts w:ascii="宋体" w:hAnsi="宋体"/>
                <w:color w:val="auto"/>
                <w:szCs w:val="21"/>
                <w:highlight w:val="none"/>
              </w:rPr>
            </w:pPr>
            <w:r>
              <w:rPr>
                <w:rFonts w:hint="eastAsia" w:ascii="宋体" w:hAnsi="宋体"/>
                <w:color w:val="auto"/>
                <w:szCs w:val="21"/>
                <w:highlight w:val="none"/>
              </w:rPr>
              <w:t>（1）如果投标人的评标价＞评标基准价，则评标价得分＝</w:t>
            </w:r>
            <w:r>
              <w:rPr>
                <w:rFonts w:ascii="宋体" w:hAnsi="宋体"/>
                <w:color w:val="auto"/>
                <w:szCs w:val="21"/>
                <w:highlight w:val="none"/>
              </w:rPr>
              <w:t>5</w:t>
            </w:r>
            <w:r>
              <w:rPr>
                <w:rFonts w:hint="eastAsia" w:ascii="宋体" w:hAnsi="宋体"/>
                <w:color w:val="auto"/>
                <w:szCs w:val="21"/>
                <w:highlight w:val="none"/>
              </w:rPr>
              <w:t>0－偏差率×</w:t>
            </w:r>
            <w:r>
              <w:rPr>
                <w:rFonts w:ascii="宋体" w:hAnsi="宋体"/>
                <w:color w:val="auto"/>
                <w:szCs w:val="21"/>
                <w:highlight w:val="none"/>
              </w:rPr>
              <w:t>100</w:t>
            </w:r>
            <w:r>
              <w:rPr>
                <w:rFonts w:hint="eastAsia" w:ascii="宋体" w:hAnsi="宋体"/>
                <w:color w:val="auto"/>
                <w:szCs w:val="21"/>
                <w:highlight w:val="none"/>
              </w:rPr>
              <w:t>×E1；</w:t>
            </w:r>
          </w:p>
          <w:p>
            <w:pPr>
              <w:tabs>
                <w:tab w:val="left" w:pos="3060"/>
              </w:tabs>
              <w:rPr>
                <w:rFonts w:ascii="宋体" w:hAnsi="宋体"/>
                <w:color w:val="auto"/>
                <w:szCs w:val="21"/>
                <w:highlight w:val="none"/>
              </w:rPr>
            </w:pPr>
            <w:r>
              <w:rPr>
                <w:rFonts w:hint="eastAsia" w:ascii="宋体" w:hAnsi="宋体"/>
                <w:color w:val="auto"/>
                <w:szCs w:val="21"/>
                <w:highlight w:val="none"/>
              </w:rPr>
              <w:t>（2）如果投标人的评标价≤评标基准价，则评标价得分＝</w:t>
            </w:r>
            <w:r>
              <w:rPr>
                <w:rFonts w:ascii="宋体" w:hAnsi="宋体"/>
                <w:color w:val="auto"/>
                <w:szCs w:val="21"/>
                <w:highlight w:val="none"/>
              </w:rPr>
              <w:t>50</w:t>
            </w:r>
            <w:r>
              <w:rPr>
                <w:rFonts w:hint="eastAsia" w:ascii="宋体" w:hAnsi="宋体"/>
                <w:color w:val="auto"/>
                <w:szCs w:val="21"/>
                <w:highlight w:val="none"/>
              </w:rPr>
              <w:t>＋偏差率×1</w:t>
            </w:r>
            <w:r>
              <w:rPr>
                <w:rFonts w:ascii="宋体" w:hAnsi="宋体"/>
                <w:color w:val="auto"/>
                <w:szCs w:val="21"/>
                <w:highlight w:val="none"/>
              </w:rPr>
              <w:t>00</w:t>
            </w:r>
            <w:r>
              <w:rPr>
                <w:rFonts w:hint="eastAsia" w:ascii="宋体" w:hAnsi="宋体"/>
                <w:color w:val="auto"/>
                <w:szCs w:val="21"/>
                <w:highlight w:val="none"/>
              </w:rPr>
              <w:t>×E2；</w:t>
            </w:r>
          </w:p>
          <w:p>
            <w:pPr>
              <w:tabs>
                <w:tab w:val="left" w:pos="3060"/>
              </w:tabs>
              <w:rPr>
                <w:rFonts w:ascii="宋体" w:hAnsi="宋体"/>
                <w:color w:val="auto"/>
                <w:szCs w:val="21"/>
                <w:highlight w:val="none"/>
              </w:rPr>
            </w:pPr>
            <w:r>
              <w:rPr>
                <w:rFonts w:hint="eastAsia" w:ascii="宋体" w:hAnsi="宋体"/>
                <w:color w:val="auto"/>
                <w:szCs w:val="21"/>
                <w:highlight w:val="none"/>
              </w:rPr>
              <w:t>其中，E1是评标价每高于评标基准价一个百分点的扣分值，E1＝</w:t>
            </w:r>
            <w:r>
              <w:rPr>
                <w:rFonts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；E2是评标价每低于评标基准价一个百分点的扣分值，E2＝0.</w:t>
            </w:r>
            <w:r>
              <w:rPr>
                <w:rFonts w:hint="eastAsia" w:ascii="宋体" w:hAnsi="宋体"/>
                <w:color w:val="auto"/>
                <w:szCs w:val="21"/>
                <w:highlight w:val="none"/>
                <w:lang w:val="en-US" w:eastAsia="zh-CN"/>
              </w:rPr>
              <w:t>1</w:t>
            </w:r>
            <w:r>
              <w:rPr>
                <w:rFonts w:hint="eastAsia" w:ascii="宋体" w:hAnsi="宋体"/>
                <w:color w:val="auto"/>
                <w:szCs w:val="21"/>
                <w:highlight w:val="none"/>
              </w:rPr>
              <w:t>。</w:t>
            </w:r>
          </w:p>
          <w:p>
            <w:pPr>
              <w:pStyle w:val="4"/>
              <w:rPr>
                <w:rFonts w:ascii="宋体" w:hAnsi="宋体"/>
                <w:color w:val="auto"/>
                <w:highlight w:val="none"/>
              </w:rPr>
            </w:pPr>
            <w:r>
              <w:rPr>
                <w:rFonts w:hint="eastAsia" w:ascii="宋体" w:hAnsi="宋体"/>
                <w:color w:val="auto"/>
                <w:szCs w:val="21"/>
                <w:highlight w:val="none"/>
              </w:rPr>
              <w:t>评标价最低得分为</w:t>
            </w:r>
            <w:r>
              <w:rPr>
                <w:rFonts w:ascii="宋体" w:hAnsi="宋体"/>
                <w:color w:val="auto"/>
                <w:szCs w:val="21"/>
                <w:highlight w:val="none"/>
              </w:rPr>
              <w:t>0</w:t>
            </w:r>
            <w:r>
              <w:rPr>
                <w:rFonts w:hint="eastAsia" w:ascii="宋体" w:hAnsi="宋体"/>
                <w:color w:val="auto"/>
                <w:szCs w:val="21"/>
                <w:highlight w:val="none"/>
              </w:rPr>
              <w:t>分，</w:t>
            </w:r>
            <w:r>
              <w:rPr>
                <w:rFonts w:hint="eastAsia" w:ascii="宋体" w:hAnsi="宋体"/>
                <w:bCs/>
                <w:color w:val="auto"/>
                <w:szCs w:val="21"/>
                <w:highlight w:val="none"/>
              </w:rPr>
              <w:t>评标价得分保留两位小数，第三位四舍五入。</w:t>
            </w:r>
          </w:p>
        </w:tc>
      </w:tr>
    </w:tbl>
    <w:p>
      <w:pPr>
        <w:pStyle w:val="4"/>
        <w:keepNext w:val="0"/>
        <w:keepLines w:val="0"/>
        <w:pageBreakBefore w:val="0"/>
        <w:widowControl w:val="0"/>
        <w:tabs>
          <w:tab w:val="left" w:pos="5138"/>
        </w:tabs>
        <w:kinsoku/>
        <w:wordWrap/>
        <w:overflowPunct/>
        <w:topLinePunct w:val="0"/>
        <w:autoSpaceDE/>
        <w:autoSpaceDN/>
        <w:bidi w:val="0"/>
        <w:adjustRightInd/>
        <w:snapToGrid w:val="0"/>
        <w:spacing w:after="0" w:line="288" w:lineRule="auto"/>
        <w:jc w:val="left"/>
        <w:rPr>
          <w:rFonts w:ascii="宋体" w:hAnsi="宋体"/>
          <w:b/>
          <w:bCs/>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技术文件（承包人建议书和承包人实施计划）评分标准中各</w:t>
      </w:r>
      <w:r>
        <w:rPr>
          <w:rFonts w:hint="eastAsia" w:hAnsi="宋体"/>
          <w:color w:val="auto"/>
          <w:sz w:val="21"/>
          <w:szCs w:val="21"/>
          <w:highlight w:val="none"/>
        </w:rPr>
        <w:t>评分因素</w:t>
      </w:r>
      <w:r>
        <w:rPr>
          <w:rFonts w:hint="eastAsia" w:hAnsi="宋体"/>
          <w:color w:val="auto"/>
          <w:sz w:val="21"/>
          <w:szCs w:val="21"/>
          <w:highlight w:val="none"/>
          <w:lang w:val="en-US" w:eastAsia="zh-CN"/>
        </w:rPr>
        <w:t>细分项</w:t>
      </w:r>
      <w:r>
        <w:rPr>
          <w:rFonts w:hint="eastAsia" w:ascii="宋体" w:hAnsi="宋体"/>
          <w:color w:val="auto"/>
          <w:sz w:val="21"/>
          <w:szCs w:val="21"/>
          <w:highlight w:val="none"/>
        </w:rPr>
        <w:t>缺项则该项得0分。</w:t>
      </w:r>
    </w:p>
    <w:p>
      <w:pPr>
        <w:pStyle w:val="5"/>
        <w:keepNext w:val="0"/>
        <w:keepLines w:val="0"/>
        <w:pageBreakBefore w:val="0"/>
        <w:widowControl w:val="0"/>
        <w:kinsoku/>
        <w:wordWrap/>
        <w:overflowPunct/>
        <w:topLinePunct w:val="0"/>
        <w:autoSpaceDE/>
        <w:autoSpaceDN/>
        <w:bidi w:val="0"/>
        <w:adjustRightInd/>
        <w:snapToGrid w:val="0"/>
        <w:spacing w:line="288" w:lineRule="auto"/>
        <w:textAlignment w:val="baseline"/>
        <w:rPr>
          <w:rFonts w:hint="eastAsia" w:ascii="宋体" w:hAnsi="宋体"/>
          <w:b/>
          <w:color w:val="auto"/>
          <w:szCs w:val="21"/>
          <w:highlight w:val="none"/>
        </w:rPr>
      </w:pPr>
      <w:r>
        <w:rPr>
          <w:rFonts w:hint="eastAsia" w:hAnsi="宋体"/>
          <w:color w:val="auto"/>
          <w:sz w:val="21"/>
          <w:szCs w:val="21"/>
          <w:highlight w:val="none"/>
          <w:lang w:val="en-US" w:eastAsia="zh-CN"/>
        </w:rPr>
        <w:t>2</w:t>
      </w:r>
      <w:r>
        <w:rPr>
          <w:rFonts w:hint="eastAsia" w:hAnsi="宋体"/>
          <w:color w:val="auto"/>
          <w:sz w:val="21"/>
          <w:szCs w:val="21"/>
          <w:highlight w:val="none"/>
        </w:rPr>
        <w:t>、各评分因素</w:t>
      </w:r>
      <w:r>
        <w:rPr>
          <w:rFonts w:hint="eastAsia" w:hAnsi="宋体"/>
          <w:color w:val="auto"/>
          <w:sz w:val="21"/>
          <w:szCs w:val="21"/>
          <w:highlight w:val="none"/>
          <w:lang w:val="en-US" w:eastAsia="zh-CN"/>
        </w:rPr>
        <w:t>细分项</w:t>
      </w:r>
      <w:r>
        <w:rPr>
          <w:rFonts w:hint="eastAsia" w:hAnsi="宋体"/>
          <w:color w:val="auto"/>
          <w:sz w:val="21"/>
          <w:szCs w:val="21"/>
          <w:highlight w:val="none"/>
        </w:rPr>
        <w:t>评标委员会各成员</w:t>
      </w:r>
      <w:r>
        <w:rPr>
          <w:rFonts w:hint="eastAsia" w:hAnsi="宋体"/>
          <w:color w:val="auto"/>
          <w:sz w:val="21"/>
          <w:szCs w:val="21"/>
          <w:highlight w:val="none"/>
          <w:lang w:val="en-US" w:eastAsia="zh-CN"/>
        </w:rPr>
        <w:t>打分保留1位小数，</w:t>
      </w:r>
      <w:r>
        <w:rPr>
          <w:rFonts w:hint="eastAsia" w:hAnsi="宋体"/>
          <w:color w:val="auto"/>
          <w:sz w:val="21"/>
          <w:szCs w:val="21"/>
          <w:highlight w:val="none"/>
        </w:rPr>
        <w:t>汇总得分以打分平均值确定，保留小数点后两位</w:t>
      </w:r>
      <w:r>
        <w:rPr>
          <w:rFonts w:hint="eastAsia" w:hAnsi="宋体"/>
          <w:color w:val="auto"/>
          <w:sz w:val="21"/>
          <w:szCs w:val="21"/>
          <w:highlight w:val="none"/>
          <w:lang w:eastAsia="zh-CN"/>
        </w:rPr>
        <w:t>，</w:t>
      </w:r>
      <w:r>
        <w:rPr>
          <w:rFonts w:hint="eastAsia" w:hAnsi="宋体"/>
          <w:color w:val="auto"/>
          <w:sz w:val="21"/>
          <w:szCs w:val="21"/>
          <w:highlight w:val="none"/>
        </w:rPr>
        <w:t>小数点后</w:t>
      </w:r>
      <w:r>
        <w:rPr>
          <w:rFonts w:hint="eastAsia" w:hAnsi="宋体"/>
          <w:color w:val="auto"/>
          <w:sz w:val="21"/>
          <w:szCs w:val="21"/>
          <w:highlight w:val="none"/>
          <w:lang w:val="en-US" w:eastAsia="zh-CN"/>
        </w:rPr>
        <w:t>第3位四舍五入</w:t>
      </w:r>
      <w:r>
        <w:rPr>
          <w:rFonts w:hint="eastAsia" w:hAnsi="宋体"/>
          <w:color w:val="auto"/>
          <w:sz w:val="21"/>
          <w:szCs w:val="21"/>
          <w:highlight w:val="none"/>
        </w:rPr>
        <w:t>。</w:t>
      </w:r>
    </w:p>
    <w:p>
      <w:bookmarkStart w:id="1" w:name="_GoBack"/>
      <w:bookmarkEnd w:id="1"/>
    </w:p>
    <w:sectPr>
      <w:headerReference r:id="rId3" w:type="default"/>
      <w:footerReference r:id="rId4" w:type="default"/>
      <w:pgSz w:w="11906" w:h="16838"/>
      <w:pgMar w:top="1418" w:right="1361" w:bottom="1361" w:left="141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fldChar w:fldCharType="begin"/>
    </w:r>
    <w:r>
      <w:instrText xml:space="preserve"> PAGE   \* MERGEFORMAT </w:instrText>
    </w:r>
    <w:r>
      <w:fldChar w:fldCharType="separate"/>
    </w:r>
    <w:r>
      <w:rPr>
        <w:lang w:val="zh-CN"/>
      </w:rP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jc w:val="right"/>
      <w:rPr>
        <w:rFonts w:ascii="宋体" w:hAnsi="宋体"/>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9F63C86"/>
    <w:rsid w:val="0C426528"/>
    <w:rsid w:val="79F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Document Map"/>
    <w:basedOn w:val="1"/>
    <w:qFormat/>
    <w:uiPriority w:val="99"/>
    <w:pPr>
      <w:shd w:val="clear" w:color="auto" w:fill="000080"/>
    </w:pPr>
  </w:style>
  <w:style w:type="paragraph" w:styleId="4">
    <w:name w:val="Body Text"/>
    <w:basedOn w:val="1"/>
    <w:qFormat/>
    <w:uiPriority w:val="99"/>
    <w:pPr>
      <w:spacing w:after="120" w:afterLines="0"/>
    </w:pPr>
  </w:style>
  <w:style w:type="paragraph" w:styleId="5">
    <w:name w:val="Plain Text"/>
    <w:basedOn w:val="1"/>
    <w:qFormat/>
    <w:uiPriority w:val="0"/>
    <w:rPr>
      <w:rFonts w:ascii="宋体" w:hAnsi="Courier New"/>
      <w:kern w:val="0"/>
      <w:sz w:val="20"/>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2025-08-04T02:49:00Z</dcterms:created>
  <dc:creator>赵凌云</dc:creator>
  <cp:lastModifiedBy>赵凌云</cp:lastModifiedBy>
  <dcterms:modified xsi:type="dcterms:W3CDTF">2025-08-04T02:50:00Z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42829C9F70204C1CB95B183B689B28DB_13</vt:lpwstr>
  </property>
</Properties>
</file>