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40"/>
        </w:tabs>
        <w:snapToGrid w:val="0"/>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附件</w:t>
      </w:r>
      <w:r>
        <w:rPr>
          <w:rFonts w:ascii="宋体" w:hAnsi="宋体"/>
          <w:b/>
          <w:color w:val="auto"/>
          <w:sz w:val="24"/>
          <w:highlight w:val="none"/>
        </w:rPr>
        <w:t>1</w:t>
      </w:r>
      <w:r>
        <w:rPr>
          <w:rFonts w:hint="eastAsia" w:ascii="宋体" w:hAnsi="宋体"/>
          <w:b/>
          <w:color w:val="auto"/>
          <w:sz w:val="24"/>
          <w:highlight w:val="none"/>
        </w:rPr>
        <w:t>：资格审查条件</w:t>
      </w:r>
    </w:p>
    <w:p>
      <w:pPr>
        <w:pStyle w:val="2"/>
        <w:spacing w:line="280" w:lineRule="exact"/>
        <w:ind w:firstLine="118"/>
        <w:jc w:val="center"/>
        <w:rPr>
          <w:rFonts w:hint="eastAsia" w:ascii="宋体" w:eastAsia="宋体"/>
          <w:color w:val="auto"/>
          <w:sz w:val="24"/>
          <w:szCs w:val="24"/>
          <w:highlight w:val="none"/>
          <w:lang w:eastAsia="zh-CN"/>
        </w:rPr>
      </w:pPr>
      <w:bookmarkStart w:id="0" w:name="_Toc525914594"/>
      <w:bookmarkStart w:id="1" w:name="_Toc6300149"/>
      <w:bookmarkStart w:id="2" w:name="_Toc448050340"/>
      <w:r>
        <w:rPr>
          <w:rFonts w:hint="eastAsia" w:ascii="宋体" w:eastAsia="宋体"/>
          <w:color w:val="auto"/>
          <w:sz w:val="24"/>
          <w:szCs w:val="24"/>
          <w:highlight w:val="none"/>
        </w:rPr>
        <w:t>附录1资格审查条件</w:t>
      </w:r>
      <w:r>
        <w:rPr>
          <w:rFonts w:hint="eastAsia" w:ascii="宋体" w:eastAsia="宋体"/>
          <w:color w:val="auto"/>
          <w:sz w:val="24"/>
          <w:szCs w:val="24"/>
          <w:highlight w:val="none"/>
          <w:lang w:eastAsia="zh-CN"/>
        </w:rPr>
        <w:t>（</w:t>
      </w:r>
      <w:r>
        <w:rPr>
          <w:rFonts w:hint="eastAsia" w:ascii="宋体" w:eastAsia="宋体"/>
          <w:color w:val="auto"/>
          <w:sz w:val="24"/>
          <w:szCs w:val="24"/>
          <w:highlight w:val="none"/>
        </w:rPr>
        <w:t>资质最低条件</w:t>
      </w:r>
      <w:bookmarkEnd w:id="0"/>
      <w:bookmarkEnd w:id="1"/>
      <w:bookmarkEnd w:id="2"/>
      <w:r>
        <w:rPr>
          <w:rFonts w:hint="eastAsia" w:ascii="宋体" w:eastAsia="宋体"/>
          <w:color w:val="auto"/>
          <w:sz w:val="24"/>
          <w:szCs w:val="24"/>
          <w:highlight w:val="none"/>
          <w:lang w:eastAsia="zh-CN"/>
        </w:rPr>
        <w:t>）</w:t>
      </w:r>
    </w:p>
    <w:tbl>
      <w:tblPr>
        <w:tblStyle w:val="3"/>
        <w:tblW w:w="9311"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311" w:type="dxa"/>
            <w:noWrap w:val="0"/>
            <w:vAlign w:val="center"/>
          </w:tcPr>
          <w:p>
            <w:pPr>
              <w:spacing w:line="280" w:lineRule="exact"/>
              <w:jc w:val="center"/>
              <w:rPr>
                <w:rFonts w:hint="eastAsia" w:ascii="宋体" w:hAnsi="宋体"/>
                <w:color w:val="auto"/>
                <w:highlight w:val="none"/>
              </w:rPr>
            </w:pPr>
            <w:r>
              <w:rPr>
                <w:rFonts w:hint="eastAsia" w:ascii="宋体" w:hAnsi="宋体"/>
                <w:color w:val="auto"/>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2" w:hRule="atLeast"/>
        </w:trPr>
        <w:tc>
          <w:tcPr>
            <w:tcW w:w="9311" w:type="dxa"/>
            <w:noWrap w:val="0"/>
            <w:vAlign w:val="center"/>
          </w:tcPr>
          <w:p>
            <w:pPr>
              <w:snapToGrid w:val="0"/>
              <w:spacing w:line="288" w:lineRule="auto"/>
              <w:ind w:firstLine="420" w:firstLineChars="200"/>
              <w:rPr>
                <w:rFonts w:hint="eastAsia" w:ascii="宋体" w:hAnsi="宋体"/>
                <w:color w:val="auto"/>
                <w:szCs w:val="21"/>
                <w:highlight w:val="none"/>
              </w:rPr>
            </w:pPr>
            <w:r>
              <w:rPr>
                <w:rFonts w:hint="eastAsia" w:ascii="宋体" w:hAnsi="宋体"/>
                <w:color w:val="auto"/>
                <w:szCs w:val="21"/>
                <w:highlight w:val="none"/>
              </w:rPr>
              <w:t>1.具有独立企业法人资格，持有有效的企业营业执照；</w:t>
            </w:r>
          </w:p>
          <w:p>
            <w:pPr>
              <w:snapToGrid w:val="0"/>
              <w:spacing w:line="288" w:lineRule="auto"/>
              <w:ind w:firstLine="420" w:firstLineChars="200"/>
              <w:jc w:val="left"/>
              <w:rPr>
                <w:rFonts w:ascii="宋体" w:hAnsi="宋体"/>
                <w:color w:val="auto"/>
                <w:szCs w:val="21"/>
                <w:highlight w:val="none"/>
              </w:rPr>
            </w:pPr>
            <w:r>
              <w:rPr>
                <w:rFonts w:hint="eastAsia" w:ascii="宋体" w:hAnsi="宋体"/>
                <w:color w:val="auto"/>
                <w:szCs w:val="21"/>
                <w:highlight w:val="none"/>
              </w:rPr>
              <w:t>2.具有住房和城乡建设行政主管部门颁发的工程勘察综合甲级资质或工程勘察专业类（工程测量、</w:t>
            </w:r>
            <w:r>
              <w:rPr>
                <w:rFonts w:hint="eastAsia" w:ascii="宋体" w:hAnsi="宋体"/>
                <w:color w:val="auto"/>
                <w:szCs w:val="21"/>
                <w:highlight w:val="none"/>
                <w:lang w:eastAsia="zh-CN"/>
              </w:rPr>
              <w:t>岩土工程勘察）</w:t>
            </w:r>
            <w:r>
              <w:rPr>
                <w:rFonts w:hint="eastAsia" w:ascii="宋体" w:hAnsi="宋体"/>
                <w:color w:val="auto"/>
                <w:szCs w:val="21"/>
                <w:highlight w:val="none"/>
              </w:rPr>
              <w:t>乙级及以上资质；</w:t>
            </w:r>
          </w:p>
          <w:p>
            <w:pPr>
              <w:snapToGrid w:val="0"/>
              <w:spacing w:line="288"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具有住房和城乡建设主管部门颁发的</w:t>
            </w:r>
            <w:r>
              <w:rPr>
                <w:rFonts w:ascii="宋体" w:hAnsi="宋体"/>
                <w:color w:val="auto"/>
                <w:szCs w:val="21"/>
                <w:highlight w:val="none"/>
              </w:rPr>
              <w:t>工程设计综合甲级资质</w:t>
            </w:r>
            <w:r>
              <w:rPr>
                <w:rFonts w:hint="eastAsia" w:ascii="宋体" w:hAnsi="宋体"/>
                <w:color w:val="auto"/>
                <w:szCs w:val="21"/>
                <w:highlight w:val="none"/>
                <w:lang w:eastAsia="zh-CN"/>
              </w:rPr>
              <w:t>或工程设计电力行业</w:t>
            </w:r>
            <w:r>
              <w:rPr>
                <w:rFonts w:hint="eastAsia" w:ascii="宋体" w:hAnsi="宋体"/>
                <w:color w:val="auto"/>
                <w:szCs w:val="21"/>
                <w:highlight w:val="none"/>
                <w:lang w:val="en-US" w:eastAsia="zh-CN"/>
              </w:rPr>
              <w:t>乙级及以上</w:t>
            </w:r>
            <w:r>
              <w:rPr>
                <w:rFonts w:hint="eastAsia" w:ascii="宋体" w:hAnsi="宋体"/>
                <w:color w:val="auto"/>
                <w:szCs w:val="21"/>
                <w:highlight w:val="none"/>
                <w:lang w:eastAsia="zh-CN"/>
              </w:rPr>
              <w:t>资质或工程设计电力行业（变电工程、送电工程）专业乙级及以上资质。</w:t>
            </w:r>
          </w:p>
          <w:p>
            <w:pPr>
              <w:snapToGrid w:val="0"/>
              <w:spacing w:line="288"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4.具有住房和城乡建设主管部门颁发的电力工程施工总承包三级及以上或输变电工程专业承包三级及以上资质，具有有效的《承装（修、试）电力设施许可证》承装（修、试）类三级及以上资质。</w:t>
            </w:r>
          </w:p>
          <w:p>
            <w:pPr>
              <w:snapToGrid w:val="0"/>
              <w:spacing w:line="288" w:lineRule="auto"/>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具有住房和城乡建设主管部门核发的有效的安全生产许可证。</w:t>
            </w:r>
          </w:p>
          <w:p>
            <w:pPr>
              <w:snapToGrid w:val="0"/>
              <w:spacing w:line="288"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联合体投标的，联合体牵头人应具有住房和城乡建设主管部门颁发的电力工程施工总承包三级及以上或输变电工程专业承包三级及以上资质，具有有效的《承装（修、试）电力设施许可证》承装（修、试）类三级及以上资质，具有住房和城乡建设主管部门核发的有效的安全生产许可证。</w:t>
            </w:r>
          </w:p>
        </w:tc>
      </w:tr>
    </w:tbl>
    <w:p>
      <w:pPr>
        <w:pStyle w:val="2"/>
        <w:spacing w:line="280" w:lineRule="exact"/>
        <w:ind w:firstLine="118"/>
        <w:jc w:val="center"/>
        <w:rPr>
          <w:rFonts w:hint="eastAsia" w:ascii="宋体" w:eastAsia="宋体"/>
          <w:color w:val="auto"/>
          <w:sz w:val="24"/>
          <w:szCs w:val="24"/>
          <w:highlight w:val="none"/>
        </w:rPr>
      </w:pPr>
      <w:bookmarkStart w:id="3" w:name="_Toc525914596"/>
      <w:bookmarkStart w:id="4" w:name="_Toc506292430"/>
      <w:bookmarkStart w:id="5" w:name="_Toc6300150"/>
      <w:bookmarkStart w:id="6" w:name="_Toc448050342"/>
    </w:p>
    <w:p>
      <w:pPr>
        <w:pStyle w:val="2"/>
        <w:spacing w:line="280" w:lineRule="exact"/>
        <w:ind w:firstLine="118"/>
        <w:jc w:val="center"/>
        <w:rPr>
          <w:rFonts w:hint="eastAsia" w:ascii="宋体" w:eastAsia="宋体"/>
          <w:color w:val="auto"/>
          <w:sz w:val="24"/>
          <w:szCs w:val="24"/>
          <w:highlight w:val="none"/>
          <w:lang w:eastAsia="zh-CN"/>
        </w:rPr>
      </w:pPr>
      <w:r>
        <w:rPr>
          <w:rFonts w:hint="eastAsia" w:ascii="宋体" w:eastAsia="宋体"/>
          <w:color w:val="auto"/>
          <w:sz w:val="24"/>
          <w:szCs w:val="24"/>
          <w:highlight w:val="none"/>
        </w:rPr>
        <w:t>附录</w:t>
      </w:r>
      <w:r>
        <w:rPr>
          <w:rFonts w:ascii="宋体" w:eastAsia="宋体"/>
          <w:color w:val="auto"/>
          <w:sz w:val="24"/>
          <w:szCs w:val="24"/>
          <w:highlight w:val="none"/>
        </w:rPr>
        <w:t>2</w:t>
      </w:r>
      <w:r>
        <w:rPr>
          <w:rFonts w:hint="eastAsia" w:ascii="宋体" w:eastAsia="宋体"/>
          <w:color w:val="auto"/>
          <w:sz w:val="24"/>
          <w:szCs w:val="24"/>
          <w:highlight w:val="none"/>
        </w:rPr>
        <w:t>资格审查条件</w:t>
      </w:r>
      <w:r>
        <w:rPr>
          <w:rFonts w:hint="eastAsia" w:ascii="宋体" w:eastAsia="宋体"/>
          <w:color w:val="auto"/>
          <w:sz w:val="24"/>
          <w:szCs w:val="24"/>
          <w:highlight w:val="none"/>
          <w:lang w:eastAsia="zh-CN"/>
        </w:rPr>
        <w:t>（</w:t>
      </w:r>
      <w:r>
        <w:rPr>
          <w:rFonts w:hint="eastAsia" w:ascii="宋体" w:eastAsia="宋体"/>
          <w:color w:val="auto"/>
          <w:sz w:val="24"/>
          <w:szCs w:val="24"/>
          <w:highlight w:val="none"/>
        </w:rPr>
        <w:t>业绩最低要求</w:t>
      </w:r>
      <w:bookmarkEnd w:id="3"/>
      <w:bookmarkEnd w:id="4"/>
      <w:bookmarkEnd w:id="5"/>
      <w:r>
        <w:rPr>
          <w:rFonts w:hint="eastAsia" w:ascii="宋体" w:eastAsia="宋体"/>
          <w:color w:val="auto"/>
          <w:sz w:val="24"/>
          <w:szCs w:val="24"/>
          <w:highlight w:val="none"/>
          <w:lang w:eastAsia="zh-CN"/>
        </w:rPr>
        <w:t>）</w:t>
      </w:r>
    </w:p>
    <w:tbl>
      <w:tblPr>
        <w:tblStyle w:val="3"/>
        <w:tblW w:w="9311"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311" w:type="dxa"/>
            <w:noWrap w:val="0"/>
            <w:vAlign w:val="center"/>
          </w:tcPr>
          <w:p>
            <w:pPr>
              <w:spacing w:line="280" w:lineRule="exact"/>
              <w:jc w:val="center"/>
              <w:rPr>
                <w:rFonts w:hint="eastAsia" w:ascii="宋体" w:hAnsi="宋体"/>
                <w:color w:val="auto"/>
                <w:highlight w:val="none"/>
              </w:rPr>
            </w:pPr>
            <w:r>
              <w:rPr>
                <w:rFonts w:hint="eastAsia" w:ascii="宋体" w:hAnsi="宋体"/>
                <w:color w:val="auto"/>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9311" w:type="dxa"/>
            <w:noWrap w:val="0"/>
            <w:vAlign w:val="center"/>
          </w:tcPr>
          <w:p>
            <w:pPr>
              <w:spacing w:line="288" w:lineRule="auto"/>
              <w:rPr>
                <w:rFonts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设计业绩：</w:t>
            </w:r>
            <w:r>
              <w:rPr>
                <w:rFonts w:hint="eastAsia" w:ascii="宋体" w:hAnsi="宋体" w:cs="宋体"/>
                <w:color w:val="auto"/>
                <w:szCs w:val="21"/>
                <w:highlight w:val="none"/>
              </w:rPr>
              <w:t>近5年（</w:t>
            </w:r>
            <w:r>
              <w:rPr>
                <w:rFonts w:hint="eastAsia" w:ascii="宋体" w:hAnsi="宋体" w:cs="宋体"/>
                <w:color w:val="auto"/>
                <w:szCs w:val="21"/>
                <w:highlight w:val="none"/>
                <w:lang w:eastAsia="zh-CN"/>
              </w:rPr>
              <w:t>2020年7月1日</w:t>
            </w:r>
            <w:r>
              <w:rPr>
                <w:rFonts w:hint="eastAsia" w:ascii="宋体" w:hAnsi="宋体" w:cs="宋体"/>
                <w:color w:val="auto"/>
                <w:szCs w:val="21"/>
                <w:highlight w:val="none"/>
              </w:rPr>
              <w:t>至今，以合同签订时间为准），承担过1项35kV或以上电压等级的</w:t>
            </w:r>
            <w:r>
              <w:rPr>
                <w:rFonts w:hint="eastAsia" w:ascii="宋体" w:hAnsi="宋体" w:cs="宋体"/>
                <w:color w:val="auto"/>
                <w:szCs w:val="21"/>
                <w:highlight w:val="none"/>
                <w:lang w:eastAsia="zh-CN"/>
              </w:rPr>
              <w:t>电力工程</w:t>
            </w:r>
            <w:r>
              <w:rPr>
                <w:rFonts w:hint="eastAsia" w:ascii="宋体" w:hAnsi="宋体" w:cs="宋体"/>
                <w:color w:val="auto"/>
                <w:szCs w:val="21"/>
                <w:highlight w:val="none"/>
              </w:rPr>
              <w:t>施工图设计业绩。</w:t>
            </w:r>
          </w:p>
          <w:p>
            <w:pPr>
              <w:spacing w:line="288" w:lineRule="auto"/>
              <w:rPr>
                <w:rFonts w:hint="eastAsia"/>
                <w:color w:val="auto"/>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施工业绩：</w:t>
            </w:r>
            <w:r>
              <w:rPr>
                <w:rFonts w:hint="eastAsia" w:ascii="宋体" w:hAnsi="宋体" w:cs="宋体"/>
                <w:color w:val="auto"/>
                <w:szCs w:val="21"/>
                <w:highlight w:val="none"/>
              </w:rPr>
              <w:t>近5年（</w:t>
            </w:r>
            <w:r>
              <w:rPr>
                <w:rFonts w:hint="eastAsia" w:ascii="宋体" w:hAnsi="宋体" w:cs="宋体"/>
                <w:color w:val="auto"/>
                <w:szCs w:val="21"/>
                <w:highlight w:val="none"/>
                <w:lang w:eastAsia="zh-CN"/>
              </w:rPr>
              <w:t>2020年7月1日</w:t>
            </w:r>
            <w:r>
              <w:rPr>
                <w:rFonts w:hint="eastAsia" w:ascii="宋体" w:hAnsi="宋体" w:cs="宋体"/>
                <w:color w:val="auto"/>
                <w:szCs w:val="21"/>
                <w:highlight w:val="none"/>
              </w:rPr>
              <w:t>至今，</w:t>
            </w:r>
            <w:r>
              <w:rPr>
                <w:rFonts w:hint="eastAsia" w:ascii="宋体" w:hAnsi="宋体"/>
                <w:color w:val="auto"/>
                <w:szCs w:val="21"/>
                <w:highlight w:val="none"/>
                <w:lang w:eastAsia="zh-CN"/>
              </w:rPr>
              <w:t>以合同签订时间为准</w:t>
            </w:r>
            <w:r>
              <w:rPr>
                <w:rFonts w:hint="eastAsia" w:ascii="宋体" w:hAnsi="宋体" w:cs="宋体"/>
                <w:color w:val="auto"/>
                <w:szCs w:val="21"/>
                <w:highlight w:val="none"/>
              </w:rPr>
              <w:t>），承担过1项</w:t>
            </w:r>
            <w:r>
              <w:rPr>
                <w:rFonts w:hint="eastAsia" w:ascii="宋体" w:hAnsi="宋体" w:cs="宋体"/>
                <w:color w:val="auto"/>
                <w:szCs w:val="21"/>
                <w:highlight w:val="none"/>
                <w:lang w:val="en-US" w:eastAsia="zh-CN"/>
              </w:rPr>
              <w:t>合同金额不少于1亿元且</w:t>
            </w:r>
            <w:r>
              <w:rPr>
                <w:rFonts w:hint="eastAsia" w:ascii="宋体" w:hAnsi="宋体" w:cs="宋体"/>
                <w:color w:val="auto"/>
                <w:szCs w:val="21"/>
                <w:highlight w:val="none"/>
              </w:rPr>
              <w:t>35kV或以上电压等级的</w:t>
            </w:r>
            <w:r>
              <w:rPr>
                <w:rFonts w:hint="eastAsia" w:ascii="宋体" w:hAnsi="宋体" w:cs="宋体"/>
                <w:color w:val="auto"/>
                <w:szCs w:val="21"/>
                <w:highlight w:val="none"/>
                <w:lang w:eastAsia="zh-CN"/>
              </w:rPr>
              <w:t>电力工程</w:t>
            </w:r>
            <w:r>
              <w:rPr>
                <w:rFonts w:hint="eastAsia" w:ascii="宋体" w:hAnsi="宋体" w:cs="宋体"/>
                <w:color w:val="auto"/>
                <w:szCs w:val="21"/>
                <w:highlight w:val="none"/>
              </w:rPr>
              <w:t>施工</w:t>
            </w:r>
            <w:r>
              <w:rPr>
                <w:rFonts w:hint="eastAsia" w:ascii="宋体" w:hAnsi="宋体" w:cs="宋体"/>
                <w:color w:val="auto"/>
                <w:szCs w:val="21"/>
                <w:highlight w:val="none"/>
                <w:lang w:val="en-US" w:eastAsia="zh-CN"/>
              </w:rPr>
              <w:t>业绩</w:t>
            </w:r>
            <w:r>
              <w:rPr>
                <w:rFonts w:hint="eastAsia" w:ascii="宋体" w:hAnsi="宋体" w:cs="宋体"/>
                <w:color w:val="auto"/>
                <w:szCs w:val="21"/>
                <w:highlight w:val="none"/>
              </w:rPr>
              <w:t>。</w:t>
            </w:r>
          </w:p>
          <w:p>
            <w:pPr>
              <w:spacing w:line="288"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注：以联合体形式投标的，联合体应满足本项规定的资格条件。</w:t>
            </w:r>
          </w:p>
        </w:tc>
      </w:tr>
    </w:tbl>
    <w:p>
      <w:pPr>
        <w:pStyle w:val="2"/>
        <w:spacing w:line="280" w:lineRule="exact"/>
        <w:ind w:firstLine="118"/>
        <w:jc w:val="center"/>
        <w:rPr>
          <w:rFonts w:hint="eastAsia" w:ascii="宋体" w:eastAsia="宋体"/>
          <w:color w:val="auto"/>
          <w:sz w:val="24"/>
          <w:szCs w:val="24"/>
          <w:highlight w:val="none"/>
        </w:rPr>
      </w:pPr>
      <w:bookmarkStart w:id="7" w:name="_Toc525914597"/>
      <w:bookmarkStart w:id="8" w:name="_Toc6300151"/>
    </w:p>
    <w:p>
      <w:pPr>
        <w:pStyle w:val="2"/>
        <w:spacing w:line="280" w:lineRule="exact"/>
        <w:ind w:firstLine="118"/>
        <w:jc w:val="center"/>
        <w:rPr>
          <w:rFonts w:hint="eastAsia" w:ascii="宋体" w:eastAsia="宋体"/>
          <w:color w:val="auto"/>
          <w:sz w:val="24"/>
          <w:szCs w:val="24"/>
          <w:highlight w:val="none"/>
          <w:lang w:eastAsia="zh-CN"/>
        </w:rPr>
      </w:pPr>
      <w:r>
        <w:rPr>
          <w:rFonts w:hint="eastAsia" w:ascii="宋体" w:eastAsia="宋体"/>
          <w:color w:val="auto"/>
          <w:sz w:val="24"/>
          <w:szCs w:val="24"/>
          <w:highlight w:val="none"/>
        </w:rPr>
        <w:t>附录</w:t>
      </w:r>
      <w:r>
        <w:rPr>
          <w:rFonts w:ascii="宋体" w:eastAsia="宋体"/>
          <w:color w:val="auto"/>
          <w:sz w:val="24"/>
          <w:szCs w:val="24"/>
          <w:highlight w:val="none"/>
        </w:rPr>
        <w:t>3</w:t>
      </w:r>
      <w:r>
        <w:rPr>
          <w:rFonts w:hint="eastAsia" w:ascii="宋体" w:eastAsia="宋体"/>
          <w:color w:val="auto"/>
          <w:sz w:val="24"/>
          <w:szCs w:val="24"/>
          <w:highlight w:val="none"/>
        </w:rPr>
        <w:t>资格审查条件</w:t>
      </w:r>
      <w:r>
        <w:rPr>
          <w:rFonts w:hint="eastAsia" w:ascii="宋体" w:eastAsia="宋体"/>
          <w:color w:val="auto"/>
          <w:sz w:val="24"/>
          <w:szCs w:val="24"/>
          <w:highlight w:val="none"/>
          <w:lang w:eastAsia="zh-CN"/>
        </w:rPr>
        <w:t>（</w:t>
      </w:r>
      <w:r>
        <w:rPr>
          <w:rFonts w:hint="eastAsia" w:ascii="宋体" w:eastAsia="宋体"/>
          <w:color w:val="auto"/>
          <w:sz w:val="24"/>
          <w:szCs w:val="24"/>
          <w:highlight w:val="none"/>
        </w:rPr>
        <w:t>信誉最低要求</w:t>
      </w:r>
      <w:bookmarkEnd w:id="6"/>
      <w:bookmarkEnd w:id="7"/>
      <w:bookmarkEnd w:id="8"/>
      <w:r>
        <w:rPr>
          <w:rFonts w:hint="eastAsia" w:ascii="宋体" w:eastAsia="宋体"/>
          <w:color w:val="auto"/>
          <w:sz w:val="24"/>
          <w:szCs w:val="24"/>
          <w:highlight w:val="none"/>
          <w:lang w:eastAsia="zh-CN"/>
        </w:rPr>
        <w:t>）</w:t>
      </w:r>
    </w:p>
    <w:tbl>
      <w:tblPr>
        <w:tblStyle w:val="3"/>
        <w:tblW w:w="9311"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311" w:type="dxa"/>
            <w:noWrap w:val="0"/>
            <w:vAlign w:val="center"/>
          </w:tcPr>
          <w:p>
            <w:pPr>
              <w:spacing w:line="280" w:lineRule="exact"/>
              <w:jc w:val="center"/>
              <w:rPr>
                <w:rFonts w:hint="eastAsia" w:ascii="宋体" w:hAnsi="宋体"/>
                <w:color w:val="auto"/>
                <w:highlight w:val="none"/>
              </w:rPr>
            </w:pPr>
            <w:r>
              <w:rPr>
                <w:rFonts w:hint="eastAsia" w:ascii="宋体" w:hAnsi="宋体"/>
                <w:color w:val="auto"/>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311" w:type="dxa"/>
            <w:noWrap w:val="0"/>
            <w:vAlign w:val="center"/>
          </w:tcPr>
          <w:p>
            <w:pPr>
              <w:spacing w:line="336" w:lineRule="auto"/>
              <w:ind w:firstLine="420" w:firstLineChars="200"/>
              <w:rPr>
                <w:rFonts w:ascii="宋体" w:hAnsi="宋体"/>
                <w:color w:val="auto"/>
                <w:highlight w:val="none"/>
              </w:rPr>
            </w:pPr>
            <w:r>
              <w:rPr>
                <w:rFonts w:hint="eastAsia" w:ascii="宋体" w:hAnsi="宋体"/>
                <w:color w:val="auto"/>
                <w:highlight w:val="none"/>
              </w:rPr>
              <w:t>近1年（</w:t>
            </w:r>
            <w:r>
              <w:rPr>
                <w:rFonts w:hint="eastAsia" w:ascii="宋体" w:hAnsi="宋体"/>
                <w:color w:val="auto"/>
                <w:highlight w:val="none"/>
                <w:lang w:eastAsia="zh-CN"/>
              </w:rPr>
              <w:t>2024年7月</w:t>
            </w:r>
            <w:r>
              <w:rPr>
                <w:rFonts w:hint="eastAsia" w:ascii="宋体" w:hAnsi="宋体"/>
                <w:color w:val="auto"/>
                <w:highlight w:val="none"/>
              </w:rPr>
              <w:t>1日至今）中不曾在</w:t>
            </w:r>
            <w:r>
              <w:rPr>
                <w:rFonts w:hint="eastAsia" w:ascii="宋体" w:hAnsi="宋体"/>
                <w:color w:val="auto"/>
                <w:highlight w:val="none"/>
                <w:lang w:eastAsia="zh-CN"/>
              </w:rPr>
              <w:t>电力工程</w:t>
            </w:r>
            <w:r>
              <w:rPr>
                <w:rFonts w:hint="eastAsia" w:ascii="宋体" w:hAnsi="宋体"/>
                <w:color w:val="auto"/>
                <w:highlight w:val="none"/>
              </w:rPr>
              <w:t>合同中违约而被逐或因投标人自身的原因而使</w:t>
            </w:r>
            <w:r>
              <w:rPr>
                <w:rFonts w:hint="eastAsia" w:ascii="宋体" w:hAnsi="宋体"/>
                <w:color w:val="auto"/>
                <w:highlight w:val="none"/>
                <w:lang w:eastAsia="zh-CN"/>
              </w:rPr>
              <w:t>电力工程</w:t>
            </w:r>
            <w:r>
              <w:rPr>
                <w:rFonts w:hint="eastAsia" w:ascii="宋体" w:hAnsi="宋体"/>
                <w:color w:val="auto"/>
                <w:highlight w:val="none"/>
              </w:rPr>
              <w:t>合同被解除。</w:t>
            </w:r>
          </w:p>
        </w:tc>
      </w:tr>
    </w:tbl>
    <w:p>
      <w:pPr>
        <w:pStyle w:val="2"/>
        <w:spacing w:before="240" w:after="120" w:line="360" w:lineRule="auto"/>
        <w:ind w:firstLine="118"/>
        <w:jc w:val="center"/>
        <w:rPr>
          <w:rFonts w:hint="eastAsia" w:ascii="宋体" w:eastAsia="宋体"/>
          <w:color w:val="auto"/>
          <w:sz w:val="24"/>
          <w:szCs w:val="24"/>
          <w:highlight w:val="none"/>
        </w:rPr>
      </w:pPr>
      <w:bookmarkStart w:id="9" w:name="_Toc448050343"/>
      <w:bookmarkStart w:id="10" w:name="_Toc6300152"/>
      <w:bookmarkStart w:id="11" w:name="_Toc525914598"/>
    </w:p>
    <w:p>
      <w:pPr>
        <w:pStyle w:val="2"/>
        <w:spacing w:before="240" w:after="120" w:line="360" w:lineRule="auto"/>
        <w:ind w:firstLine="118"/>
        <w:jc w:val="center"/>
        <w:rPr>
          <w:rFonts w:hint="eastAsia" w:ascii="宋体" w:eastAsia="宋体"/>
          <w:color w:val="auto"/>
          <w:sz w:val="24"/>
          <w:szCs w:val="24"/>
          <w:highlight w:val="none"/>
          <w:lang w:eastAsia="zh-CN"/>
        </w:rPr>
      </w:pPr>
      <w:r>
        <w:rPr>
          <w:rFonts w:hint="eastAsia" w:ascii="宋体" w:eastAsia="宋体"/>
          <w:color w:val="auto"/>
          <w:sz w:val="24"/>
          <w:szCs w:val="24"/>
          <w:highlight w:val="none"/>
        </w:rPr>
        <w:t>附录</w:t>
      </w:r>
      <w:r>
        <w:rPr>
          <w:rFonts w:ascii="宋体" w:eastAsia="宋体"/>
          <w:color w:val="auto"/>
          <w:sz w:val="24"/>
          <w:szCs w:val="24"/>
          <w:highlight w:val="none"/>
        </w:rPr>
        <w:t>4</w:t>
      </w:r>
      <w:r>
        <w:rPr>
          <w:rFonts w:hint="eastAsia" w:ascii="宋体" w:eastAsia="宋体"/>
          <w:color w:val="auto"/>
          <w:sz w:val="24"/>
          <w:szCs w:val="24"/>
          <w:highlight w:val="none"/>
        </w:rPr>
        <w:t>资格审查条件</w:t>
      </w:r>
      <w:r>
        <w:rPr>
          <w:rFonts w:hint="eastAsia" w:ascii="宋体" w:eastAsia="宋体"/>
          <w:color w:val="auto"/>
          <w:sz w:val="24"/>
          <w:szCs w:val="24"/>
          <w:highlight w:val="none"/>
          <w:lang w:eastAsia="zh-CN"/>
        </w:rPr>
        <w:t>（</w:t>
      </w:r>
      <w:r>
        <w:rPr>
          <w:rFonts w:hint="eastAsia" w:ascii="宋体" w:eastAsia="宋体"/>
          <w:color w:val="auto"/>
          <w:sz w:val="24"/>
          <w:szCs w:val="24"/>
          <w:highlight w:val="none"/>
        </w:rPr>
        <w:t>主要人员最低要求</w:t>
      </w:r>
      <w:bookmarkEnd w:id="9"/>
      <w:bookmarkEnd w:id="10"/>
      <w:bookmarkEnd w:id="11"/>
      <w:r>
        <w:rPr>
          <w:rFonts w:hint="eastAsia" w:ascii="宋体" w:eastAsia="宋体"/>
          <w:color w:val="auto"/>
          <w:sz w:val="24"/>
          <w:szCs w:val="24"/>
          <w:highlight w:val="none"/>
          <w:lang w:eastAsia="zh-CN"/>
        </w:rPr>
        <w:t>）</w:t>
      </w:r>
    </w:p>
    <w:tbl>
      <w:tblPr>
        <w:tblStyle w:val="3"/>
        <w:tblW w:w="9453"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766"/>
        <w:gridCol w:w="581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74" w:type="dxa"/>
            <w:noWrap w:val="0"/>
            <w:vAlign w:val="center"/>
          </w:tcPr>
          <w:p>
            <w:pPr>
              <w:spacing w:line="280" w:lineRule="exact"/>
              <w:jc w:val="center"/>
              <w:rPr>
                <w:rFonts w:hint="eastAsia" w:ascii="宋体" w:hAnsi="宋体"/>
                <w:color w:val="auto"/>
                <w:highlight w:val="none"/>
              </w:rPr>
            </w:pPr>
            <w:r>
              <w:rPr>
                <w:rFonts w:hint="eastAsia" w:ascii="宋体" w:hAnsi="宋体"/>
                <w:color w:val="auto"/>
                <w:highlight w:val="none"/>
              </w:rPr>
              <w:t>人员</w:t>
            </w:r>
          </w:p>
        </w:tc>
        <w:tc>
          <w:tcPr>
            <w:tcW w:w="766" w:type="dxa"/>
            <w:noWrap w:val="0"/>
            <w:vAlign w:val="center"/>
          </w:tcPr>
          <w:p>
            <w:pPr>
              <w:spacing w:line="280" w:lineRule="exact"/>
              <w:jc w:val="center"/>
              <w:rPr>
                <w:rFonts w:hint="eastAsia" w:ascii="宋体" w:hAnsi="宋体"/>
                <w:color w:val="auto"/>
                <w:highlight w:val="none"/>
              </w:rPr>
            </w:pPr>
            <w:r>
              <w:rPr>
                <w:rFonts w:hint="eastAsia" w:ascii="宋体" w:hAnsi="宋体"/>
                <w:color w:val="auto"/>
                <w:highlight w:val="none"/>
              </w:rPr>
              <w:t>数量</w:t>
            </w:r>
          </w:p>
        </w:tc>
        <w:tc>
          <w:tcPr>
            <w:tcW w:w="5812" w:type="dxa"/>
            <w:noWrap w:val="0"/>
            <w:vAlign w:val="center"/>
          </w:tcPr>
          <w:p>
            <w:pPr>
              <w:spacing w:line="280" w:lineRule="exact"/>
              <w:jc w:val="center"/>
              <w:rPr>
                <w:rFonts w:hint="eastAsia" w:ascii="宋体" w:hAnsi="宋体"/>
                <w:color w:val="auto"/>
                <w:highlight w:val="none"/>
              </w:rPr>
            </w:pPr>
            <w:r>
              <w:rPr>
                <w:rFonts w:hint="eastAsia" w:ascii="宋体" w:hAnsi="宋体"/>
                <w:color w:val="auto"/>
                <w:highlight w:val="none"/>
              </w:rPr>
              <w:t>资格要求</w:t>
            </w:r>
          </w:p>
        </w:tc>
        <w:tc>
          <w:tcPr>
            <w:tcW w:w="1701" w:type="dxa"/>
            <w:noWrap w:val="0"/>
            <w:vAlign w:val="center"/>
          </w:tcPr>
          <w:p>
            <w:pPr>
              <w:spacing w:line="280" w:lineRule="exact"/>
              <w:jc w:val="center"/>
              <w:rPr>
                <w:rFonts w:hint="eastAsia"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1174" w:type="dxa"/>
            <w:noWrap w:val="0"/>
            <w:vAlign w:val="center"/>
          </w:tcPr>
          <w:p>
            <w:pPr>
              <w:spacing w:line="280" w:lineRule="exact"/>
              <w:jc w:val="center"/>
              <w:rPr>
                <w:rFonts w:hint="eastAsia" w:ascii="宋体" w:hAnsi="宋体"/>
                <w:color w:val="auto"/>
                <w:highlight w:val="none"/>
              </w:rPr>
            </w:pPr>
            <w:r>
              <w:rPr>
                <w:rFonts w:hint="eastAsia" w:ascii="宋体" w:hAnsi="宋体"/>
                <w:color w:val="auto"/>
                <w:highlight w:val="none"/>
              </w:rPr>
              <w:t>项目经理</w:t>
            </w:r>
          </w:p>
        </w:tc>
        <w:tc>
          <w:tcPr>
            <w:tcW w:w="766" w:type="dxa"/>
            <w:noWrap w:val="0"/>
            <w:vAlign w:val="center"/>
          </w:tcPr>
          <w:p>
            <w:pPr>
              <w:spacing w:line="280" w:lineRule="exact"/>
              <w:ind w:leftChars="-20" w:hanging="42" w:hangingChars="20"/>
              <w:jc w:val="center"/>
              <w:rPr>
                <w:rFonts w:hint="eastAsia" w:ascii="宋体" w:hAnsi="宋体"/>
                <w:color w:val="auto"/>
                <w:highlight w:val="none"/>
              </w:rPr>
            </w:pPr>
            <w:r>
              <w:rPr>
                <w:rFonts w:hint="eastAsia" w:ascii="宋体" w:hAnsi="宋体"/>
                <w:color w:val="auto"/>
                <w:highlight w:val="none"/>
              </w:rPr>
              <w:t>1</w:t>
            </w:r>
          </w:p>
        </w:tc>
        <w:tc>
          <w:tcPr>
            <w:tcW w:w="58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highlight w:val="none"/>
              </w:rPr>
            </w:pPr>
            <w:r>
              <w:rPr>
                <w:rFonts w:hint="eastAsia" w:ascii="宋体" w:hAnsi="宋体"/>
                <w:color w:val="auto"/>
                <w:highlight w:val="none"/>
              </w:rPr>
              <w:t>具有一级注册建造师资格证书（机电工程专业），</w:t>
            </w:r>
            <w:r>
              <w:rPr>
                <w:rFonts w:hint="eastAsia" w:ascii="宋体" w:hAnsi="宋体" w:eastAsia="宋体" w:cs="Times New Roman"/>
                <w:color w:val="auto"/>
                <w:highlight w:val="none"/>
              </w:rPr>
              <w:t>建造师电子注册证书的注册单位须与投标人（或联合体牵头人）单位名称一致；具有住房和城乡建设行政主管部门颁发的《安全生产考核合格证书》（B类）（安全生产考核合格证书的登记单位须与投标人（或联合体牵头人）单位名称一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color w:val="auto"/>
                <w:highlight w:val="none"/>
              </w:rPr>
            </w:pPr>
            <w:r>
              <w:rPr>
                <w:rFonts w:hint="eastAsia" w:ascii="宋体" w:hAnsi="宋体"/>
                <w:color w:val="auto"/>
                <w:highlight w:val="none"/>
                <w:lang w:eastAsia="zh-CN"/>
              </w:rPr>
              <w:t>至少担任</w:t>
            </w:r>
            <w:r>
              <w:rPr>
                <w:rFonts w:hint="eastAsia" w:ascii="宋体" w:hAnsi="宋体"/>
                <w:color w:val="auto"/>
                <w:highlight w:val="none"/>
              </w:rPr>
              <w:t>过1项35kV或以上电压等级的</w:t>
            </w:r>
            <w:r>
              <w:rPr>
                <w:rFonts w:hint="eastAsia" w:ascii="宋体" w:hAnsi="宋体"/>
                <w:color w:val="auto"/>
                <w:highlight w:val="none"/>
                <w:lang w:eastAsia="zh-CN"/>
              </w:rPr>
              <w:t>电力工程</w:t>
            </w:r>
            <w:r>
              <w:rPr>
                <w:rFonts w:hint="eastAsia" w:ascii="宋体" w:hAnsi="宋体"/>
                <w:color w:val="auto"/>
                <w:highlight w:val="none"/>
              </w:rPr>
              <w:t>总承包项目的项目经理或施工负责人；或者1项35kV或以上电压等级的</w:t>
            </w:r>
            <w:r>
              <w:rPr>
                <w:rFonts w:hint="eastAsia" w:ascii="宋体" w:hAnsi="宋体"/>
                <w:color w:val="auto"/>
                <w:highlight w:val="none"/>
                <w:lang w:eastAsia="zh-CN"/>
              </w:rPr>
              <w:t>电力工程施工的项目经理</w:t>
            </w:r>
            <w:r>
              <w:rPr>
                <w:rFonts w:hint="eastAsia" w:ascii="宋体" w:hAnsi="宋体"/>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color w:val="auto"/>
                <w:kern w:val="0"/>
                <w:szCs w:val="21"/>
                <w:highlight w:val="none"/>
              </w:rPr>
            </w:pPr>
            <w:r>
              <w:rPr>
                <w:rFonts w:hint="eastAsia" w:ascii="宋体" w:hAnsi="宋体"/>
                <w:color w:val="auto"/>
                <w:highlight w:val="none"/>
              </w:rPr>
              <w:t>注：以联合体形式投标的，</w:t>
            </w:r>
            <w:r>
              <w:rPr>
                <w:rFonts w:ascii="宋体" w:hAnsi="宋体"/>
                <w:color w:val="auto"/>
                <w:highlight w:val="none"/>
              </w:rPr>
              <w:t>项目经理必须是联合体牵头人单位人员。</w:t>
            </w:r>
          </w:p>
        </w:tc>
        <w:tc>
          <w:tcPr>
            <w:tcW w:w="1701" w:type="dxa"/>
            <w:noWrap w:val="0"/>
            <w:vAlign w:val="center"/>
          </w:tcPr>
          <w:p>
            <w:pPr>
              <w:adjustRightInd w:val="0"/>
              <w:snapToGrid w:val="0"/>
              <w:spacing w:line="288" w:lineRule="auto"/>
              <w:ind w:firstLine="42" w:firstLineChars="20"/>
              <w:rPr>
                <w:rFonts w:hint="eastAsia" w:ascii="宋体" w:hAnsi="宋体"/>
                <w:color w:val="auto"/>
                <w:kern w:val="0"/>
                <w:szCs w:val="21"/>
                <w:highlight w:val="none"/>
              </w:rPr>
            </w:pPr>
            <w:r>
              <w:rPr>
                <w:rFonts w:hint="eastAsia" w:ascii="宋体" w:hAnsi="宋体"/>
                <w:color w:val="auto"/>
                <w:highlight w:val="none"/>
              </w:rPr>
              <w:t>目前未在其他项目上任职，或虽在其他项目上任职但本项目中标后能够从该项目撤离</w:t>
            </w:r>
          </w:p>
        </w:tc>
      </w:tr>
    </w:tbl>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ZTNlMDU5OWVmMjRlOWVkNzFjNTA0OGZjMTMzODUifQ=="/>
  </w:docVars>
  <w:rsids>
    <w:rsidRoot w:val="79F63C86"/>
    <w:rsid w:val="79F6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beforeLines="0" w:after="260" w:afterLines="0" w:line="415" w:lineRule="auto"/>
      <w:ind w:firstLine="137" w:firstLineChars="49"/>
      <w:outlineLvl w:val="2"/>
    </w:pPr>
    <w:rPr>
      <w:rFonts w:ascii="黑体" w:hAnsi="宋体" w:eastAsia="黑体"/>
      <w:bCs/>
      <w:sz w:val="28"/>
      <w:szCs w:val="28"/>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2025-08-04T02:49:00Z</dcterms:created>
  <dc:creator>赵凌云</dc:creator>
  <cp:lastModifiedBy>赵凌云</cp:lastModifiedBy>
  <dcterms:modified xsi:type="dcterms:W3CDTF">2025-08-04T02:49:12Z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FA27BFF3EA484D7EBAC5415BE89B25E4_11</vt:lpwstr>
  </property>
</Properties>
</file>