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宋体" w:hAnsi="宋体"/>
          <w:b/>
          <w:color w:val="auto"/>
          <w:sz w:val="24"/>
          <w:highlight w:val="none"/>
        </w:rPr>
      </w:pPr>
      <w:bookmarkStart w:id="0" w:name="_Toc356504159"/>
      <w:r>
        <w:rPr>
          <w:rFonts w:hint="eastAsia" w:ascii="宋体" w:hAnsi="宋体"/>
          <w:b/>
          <w:color w:val="auto"/>
          <w:sz w:val="24"/>
          <w:highlight w:val="none"/>
        </w:rPr>
        <w:t>附件1：资格审查要求</w:t>
      </w:r>
      <w:bookmarkEnd w:id="0"/>
      <w:bookmarkStart w:id="21" w:name="_GoBack"/>
      <w:bookmarkEnd w:id="21"/>
    </w:p>
    <w:p>
      <w:pPr>
        <w:pStyle w:val="2"/>
        <w:rPr>
          <w:rFonts w:hint="eastAsia"/>
          <w:color w:val="auto"/>
          <w:highlight w:val="none"/>
        </w:rPr>
      </w:pPr>
    </w:p>
    <w:p>
      <w:pPr>
        <w:adjustRightInd w:val="0"/>
        <w:snapToGrid w:val="0"/>
        <w:jc w:val="center"/>
        <w:rPr>
          <w:rFonts w:ascii="宋体" w:hAnsi="宋体"/>
          <w:b/>
          <w:color w:val="auto"/>
          <w:sz w:val="24"/>
          <w:highlight w:val="none"/>
        </w:rPr>
      </w:pPr>
      <w:bookmarkStart w:id="1" w:name="_Toc377105625"/>
      <w:bookmarkStart w:id="2" w:name="_Toc385352033"/>
      <w:bookmarkStart w:id="3" w:name="_Toc343514639"/>
      <w:bookmarkStart w:id="4" w:name="_Toc343514741"/>
      <w:bookmarkStart w:id="5" w:name="_Toc343514334"/>
      <w:r>
        <w:rPr>
          <w:rFonts w:hint="eastAsia" w:ascii="宋体" w:hAnsi="宋体"/>
          <w:b/>
          <w:color w:val="auto"/>
          <w:sz w:val="24"/>
          <w:highlight w:val="none"/>
        </w:rPr>
        <w:t xml:space="preserve">附录1  </w:t>
      </w:r>
      <w:bookmarkEnd w:id="1"/>
      <w:bookmarkEnd w:id="2"/>
      <w:bookmarkEnd w:id="3"/>
      <w:bookmarkEnd w:id="4"/>
      <w:bookmarkEnd w:id="5"/>
      <w:r>
        <w:rPr>
          <w:rFonts w:ascii="宋体" w:hAnsi="宋体"/>
          <w:b/>
          <w:color w:val="auto"/>
          <w:sz w:val="24"/>
          <w:highlight w:val="none"/>
        </w:rPr>
        <w:t>资格审查条件</w:t>
      </w:r>
      <w:r>
        <w:rPr>
          <w:rFonts w:hint="eastAsia" w:ascii="宋体" w:hAnsi="宋体"/>
          <w:b/>
          <w:color w:val="auto"/>
          <w:sz w:val="24"/>
          <w:highlight w:val="none"/>
        </w:rPr>
        <w:t>(</w:t>
      </w:r>
      <w:r>
        <w:rPr>
          <w:rFonts w:ascii="宋体" w:hAnsi="宋体"/>
          <w:b/>
          <w:color w:val="auto"/>
          <w:sz w:val="24"/>
          <w:highlight w:val="none"/>
        </w:rPr>
        <w:t>资质最低条件</w:t>
      </w:r>
      <w:r>
        <w:rPr>
          <w:rFonts w:hint="eastAsia" w:ascii="宋体" w:hAnsi="宋体"/>
          <w:b/>
          <w:color w:val="auto"/>
          <w:sz w:val="24"/>
          <w:highlight w:val="none"/>
        </w:rPr>
        <w:t>)</w:t>
      </w:r>
    </w:p>
    <w:tbl>
      <w:tblPr>
        <w:tblStyle w:val="4"/>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3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3" w:hRule="atLeast"/>
        </w:trPr>
        <w:tc>
          <w:tcPr>
            <w:tcW w:w="9344" w:type="dxa"/>
            <w:tcBorders>
              <w:bottom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资质要求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6" w:hRule="atLeast"/>
        </w:trPr>
        <w:tc>
          <w:tcPr>
            <w:tcW w:w="9344"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1、具有独立企业法人资格，持有有效的企业营业执照；</w:t>
            </w:r>
          </w:p>
          <w:p>
            <w:pPr>
              <w:adjustRightInd w:val="0"/>
              <w:snapToGrid w:val="0"/>
              <w:spacing w:line="360" w:lineRule="auto"/>
              <w:rPr>
                <w:rFonts w:ascii="宋体" w:hAnsi="宋体"/>
                <w:b/>
                <w:color w:val="auto"/>
                <w:szCs w:val="21"/>
                <w:highlight w:val="none"/>
              </w:rPr>
            </w:pPr>
            <w:r>
              <w:rPr>
                <w:rFonts w:hint="eastAsia" w:ascii="宋体" w:hAnsi="宋体"/>
                <w:color w:val="auto"/>
                <w:szCs w:val="21"/>
                <w:highlight w:val="none"/>
              </w:rPr>
              <w:t>2、具有住房和城乡建设行政主管部门核发的工程监理综合资质或电力工程监理乙级及以上资质。</w:t>
            </w:r>
          </w:p>
        </w:tc>
      </w:tr>
    </w:tbl>
    <w:p>
      <w:pPr>
        <w:adjustRightInd w:val="0"/>
        <w:snapToGrid w:val="0"/>
        <w:jc w:val="center"/>
        <w:rPr>
          <w:rFonts w:ascii="宋体" w:hAnsi="宋体"/>
          <w:b/>
          <w:color w:val="auto"/>
          <w:szCs w:val="21"/>
          <w:highlight w:val="none"/>
        </w:rPr>
      </w:pPr>
      <w:bookmarkStart w:id="6" w:name="_Toc343514640"/>
      <w:bookmarkStart w:id="7" w:name="_Toc343514335"/>
      <w:bookmarkStart w:id="8" w:name="_Toc385352034"/>
      <w:bookmarkStart w:id="9" w:name="_Toc343514742"/>
      <w:bookmarkStart w:id="10" w:name="_Toc377105626"/>
    </w:p>
    <w:p>
      <w:pPr>
        <w:pStyle w:val="2"/>
        <w:rPr>
          <w:rFonts w:hint="eastAsia" w:ascii="宋体" w:hAnsi="宋体"/>
          <w:color w:val="auto"/>
          <w:highlight w:val="none"/>
        </w:rPr>
      </w:pPr>
    </w:p>
    <w:p>
      <w:pPr>
        <w:adjustRightInd w:val="0"/>
        <w:snapToGrid w:val="0"/>
        <w:jc w:val="center"/>
        <w:rPr>
          <w:rFonts w:hint="eastAsia" w:ascii="宋体" w:hAnsi="宋体"/>
          <w:b/>
          <w:color w:val="auto"/>
          <w:szCs w:val="21"/>
          <w:highlight w:val="none"/>
        </w:rPr>
      </w:pPr>
    </w:p>
    <w:p>
      <w:pPr>
        <w:adjustRightInd w:val="0"/>
        <w:snapToGrid w:val="0"/>
        <w:jc w:val="center"/>
        <w:rPr>
          <w:rFonts w:hint="eastAsia" w:ascii="宋体" w:hAnsi="宋体"/>
          <w:b/>
          <w:color w:val="auto"/>
          <w:sz w:val="24"/>
          <w:highlight w:val="none"/>
        </w:rPr>
      </w:pPr>
      <w:r>
        <w:rPr>
          <w:rFonts w:hint="eastAsia" w:ascii="宋体" w:hAnsi="宋体"/>
          <w:b/>
          <w:color w:val="auto"/>
          <w:sz w:val="24"/>
          <w:highlight w:val="none"/>
        </w:rPr>
        <w:t>附录</w:t>
      </w:r>
      <w:r>
        <w:rPr>
          <w:rFonts w:ascii="宋体" w:hAnsi="宋体"/>
          <w:b/>
          <w:color w:val="auto"/>
          <w:sz w:val="24"/>
          <w:highlight w:val="none"/>
        </w:rPr>
        <w:t>2</w:t>
      </w:r>
      <w:bookmarkEnd w:id="6"/>
      <w:bookmarkEnd w:id="7"/>
      <w:bookmarkEnd w:id="8"/>
      <w:bookmarkEnd w:id="9"/>
      <w:bookmarkEnd w:id="10"/>
      <w:bookmarkStart w:id="11" w:name="_Toc385352035"/>
      <w:bookmarkStart w:id="12" w:name="_Toc343514336"/>
      <w:bookmarkStart w:id="13" w:name="_Toc377105627"/>
      <w:bookmarkStart w:id="14" w:name="_Toc343514743"/>
      <w:bookmarkStart w:id="15" w:name="_Toc343514641"/>
      <w:r>
        <w:rPr>
          <w:rFonts w:hint="eastAsia" w:ascii="宋体" w:hAnsi="宋体"/>
          <w:b/>
          <w:color w:val="auto"/>
          <w:sz w:val="24"/>
          <w:highlight w:val="none"/>
        </w:rPr>
        <w:t xml:space="preserve">  资格审查条件（业绩最低条件）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344" w:type="dxa"/>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344" w:type="dxa"/>
            <w:vMerge w:val="restart"/>
            <w:noWrap w:val="0"/>
            <w:vAlign w:val="center"/>
          </w:tcPr>
          <w:p>
            <w:pPr>
              <w:spacing w:line="340" w:lineRule="exact"/>
              <w:rPr>
                <w:rFonts w:ascii="宋体" w:hAnsi="宋体"/>
                <w:color w:val="auto"/>
                <w:szCs w:val="21"/>
                <w:highlight w:val="none"/>
              </w:rPr>
            </w:pPr>
            <w:r>
              <w:rPr>
                <w:rFonts w:hint="eastAsia" w:ascii="宋体" w:hAnsi="宋体"/>
                <w:color w:val="auto"/>
                <w:szCs w:val="21"/>
                <w:highlight w:val="none"/>
              </w:rPr>
              <w:t>近5年内（</w:t>
            </w:r>
            <w:r>
              <w:rPr>
                <w:rFonts w:hint="eastAsia" w:ascii="宋体" w:hAnsi="宋体"/>
                <w:color w:val="auto"/>
                <w:szCs w:val="21"/>
                <w:highlight w:val="none"/>
                <w:lang w:eastAsia="zh-CN"/>
              </w:rPr>
              <w:t>2020年7月</w:t>
            </w:r>
            <w:r>
              <w:rPr>
                <w:rFonts w:hint="eastAsia" w:ascii="宋体" w:hAnsi="宋体"/>
                <w:color w:val="auto"/>
                <w:szCs w:val="21"/>
                <w:highlight w:val="none"/>
              </w:rPr>
              <w:t>1日至今, 以合同签订时间为准）至少独立承担过1项35KV或以上电压等级的</w:t>
            </w:r>
            <w:r>
              <w:rPr>
                <w:rFonts w:hint="eastAsia" w:ascii="宋体" w:hAnsi="宋体"/>
                <w:color w:val="auto"/>
                <w:szCs w:val="21"/>
                <w:highlight w:val="none"/>
                <w:lang w:eastAsia="zh-CN"/>
              </w:rPr>
              <w:t>电力工程施工监理</w:t>
            </w:r>
            <w:r>
              <w:rPr>
                <w:rFonts w:hint="eastAsia" w:ascii="宋体" w:hAnsi="宋体"/>
                <w:color w:val="auto"/>
                <w:szCs w:val="21"/>
                <w:highlight w:val="none"/>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344" w:type="dxa"/>
            <w:vMerge w:val="continue"/>
            <w:noWrap w:val="0"/>
            <w:vAlign w:val="center"/>
          </w:tcPr>
          <w:p>
            <w:pPr>
              <w:rPr>
                <w:rFonts w:ascii="宋体" w:hAnsi="宋体"/>
                <w:color w:val="auto"/>
                <w:szCs w:val="21"/>
                <w:highlight w:val="none"/>
              </w:rPr>
            </w:pPr>
          </w:p>
        </w:tc>
      </w:tr>
    </w:tbl>
    <w:p>
      <w:pPr>
        <w:pStyle w:val="2"/>
        <w:rPr>
          <w:rFonts w:hint="eastAsia" w:ascii="宋体" w:hAnsi="宋体"/>
          <w:b/>
          <w:color w:val="auto"/>
          <w:sz w:val="24"/>
          <w:highlight w:val="none"/>
        </w:rPr>
      </w:pPr>
    </w:p>
    <w:p>
      <w:pPr>
        <w:adjustRightInd w:val="0"/>
        <w:snapToGrid w:val="0"/>
        <w:rPr>
          <w:rFonts w:hint="eastAsia" w:ascii="宋体" w:hAnsi="宋体"/>
          <w:b/>
          <w:color w:val="auto"/>
          <w:sz w:val="24"/>
          <w:highlight w:val="none"/>
        </w:rPr>
      </w:pPr>
    </w:p>
    <w:p>
      <w:pPr>
        <w:adjustRightInd w:val="0"/>
        <w:snapToGrid w:val="0"/>
        <w:jc w:val="center"/>
        <w:rPr>
          <w:rFonts w:hint="eastAsia" w:ascii="宋体" w:hAnsi="宋体"/>
          <w:b/>
          <w:color w:val="auto"/>
          <w:sz w:val="24"/>
          <w:highlight w:val="none"/>
        </w:rPr>
      </w:pPr>
    </w:p>
    <w:p>
      <w:pPr>
        <w:adjustRightInd w:val="0"/>
        <w:snapToGrid w:val="0"/>
        <w:jc w:val="center"/>
        <w:rPr>
          <w:rFonts w:ascii="宋体" w:hAnsi="宋体"/>
          <w:b/>
          <w:color w:val="auto"/>
          <w:sz w:val="24"/>
          <w:highlight w:val="none"/>
        </w:rPr>
      </w:pPr>
      <w:r>
        <w:rPr>
          <w:rFonts w:hint="eastAsia" w:ascii="宋体" w:hAnsi="宋体"/>
          <w:b/>
          <w:color w:val="auto"/>
          <w:sz w:val="24"/>
          <w:highlight w:val="none"/>
        </w:rPr>
        <w:t xml:space="preserve">附录3  </w:t>
      </w:r>
      <w:bookmarkEnd w:id="11"/>
      <w:bookmarkEnd w:id="12"/>
      <w:bookmarkEnd w:id="13"/>
      <w:bookmarkEnd w:id="14"/>
      <w:bookmarkEnd w:id="15"/>
      <w:r>
        <w:rPr>
          <w:rFonts w:ascii="宋体" w:hAnsi="宋体"/>
          <w:b/>
          <w:color w:val="auto"/>
          <w:sz w:val="24"/>
          <w:highlight w:val="none"/>
        </w:rPr>
        <w:t>资格审查条件(信誉最低要求)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344" w:type="dxa"/>
            <w:noWrap w:val="0"/>
            <w:vAlign w:val="center"/>
          </w:tcPr>
          <w:p>
            <w:pPr>
              <w:jc w:val="center"/>
              <w:rPr>
                <w:rFonts w:ascii="宋体" w:hAnsi="宋体"/>
                <w:b/>
                <w:color w:val="auto"/>
                <w:szCs w:val="21"/>
                <w:highlight w:val="none"/>
              </w:rPr>
            </w:pPr>
            <w:r>
              <w:rPr>
                <w:rFonts w:hint="eastAsia" w:ascii="宋体" w:hAnsi="宋体"/>
                <w:b/>
                <w:color w:val="auto"/>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344" w:type="dxa"/>
            <w:vMerge w:val="restart"/>
            <w:noWrap w:val="0"/>
            <w:vAlign w:val="center"/>
          </w:tcPr>
          <w:p>
            <w:pPr>
              <w:spacing w:line="340" w:lineRule="exact"/>
              <w:rPr>
                <w:rFonts w:ascii="宋体" w:hAnsi="宋体"/>
                <w:color w:val="auto"/>
                <w:szCs w:val="21"/>
                <w:highlight w:val="none"/>
              </w:rPr>
            </w:pPr>
            <w:r>
              <w:rPr>
                <w:rFonts w:hint="eastAsia" w:ascii="宋体" w:hAnsi="宋体"/>
                <w:color w:val="auto"/>
                <w:highlight w:val="none"/>
              </w:rPr>
              <w:t>投标人在近1年内(</w:t>
            </w:r>
            <w:r>
              <w:rPr>
                <w:rFonts w:hint="eastAsia" w:ascii="宋体" w:hAnsi="宋体"/>
                <w:color w:val="auto"/>
                <w:highlight w:val="none"/>
                <w:lang w:eastAsia="zh-CN"/>
              </w:rPr>
              <w:t>2024年7月</w:t>
            </w:r>
            <w:r>
              <w:rPr>
                <w:rFonts w:hint="eastAsia" w:ascii="宋体" w:hAnsi="宋体"/>
                <w:color w:val="auto"/>
                <w:highlight w:val="none"/>
              </w:rPr>
              <w:t>1日至今)不曾在</w:t>
            </w:r>
            <w:r>
              <w:rPr>
                <w:rFonts w:hint="eastAsia" w:ascii="宋体" w:hAnsi="宋体"/>
                <w:color w:val="auto"/>
                <w:highlight w:val="none"/>
                <w:lang w:eastAsia="zh-CN"/>
              </w:rPr>
              <w:t>电力工程监理合同</w:t>
            </w:r>
            <w:r>
              <w:rPr>
                <w:rFonts w:hint="eastAsia" w:ascii="宋体" w:hAnsi="宋体"/>
                <w:color w:val="auto"/>
                <w:highlight w:val="none"/>
              </w:rPr>
              <w:t>中违约而被驱逐或因投标人自身的原因而使</w:t>
            </w:r>
            <w:r>
              <w:rPr>
                <w:rFonts w:hint="eastAsia" w:ascii="宋体" w:hAnsi="宋体"/>
                <w:color w:val="auto"/>
                <w:highlight w:val="none"/>
                <w:lang w:eastAsia="zh-CN"/>
              </w:rPr>
              <w:t>电力工程监理合同</w:t>
            </w:r>
            <w:r>
              <w:rPr>
                <w:rFonts w:hint="eastAsia" w:ascii="宋体" w:hAnsi="宋体"/>
                <w:color w:val="auto"/>
                <w:highlight w:val="none"/>
              </w:rPr>
              <w:t>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344" w:type="dxa"/>
            <w:vMerge w:val="continue"/>
            <w:noWrap w:val="0"/>
            <w:vAlign w:val="center"/>
          </w:tcPr>
          <w:p>
            <w:pPr>
              <w:rPr>
                <w:rFonts w:ascii="宋体" w:hAnsi="宋体"/>
                <w:color w:val="auto"/>
                <w:szCs w:val="21"/>
                <w:highlight w:val="none"/>
              </w:rPr>
            </w:pPr>
          </w:p>
        </w:tc>
      </w:tr>
    </w:tbl>
    <w:p>
      <w:pPr>
        <w:adjustRightInd w:val="0"/>
        <w:snapToGrid w:val="0"/>
        <w:jc w:val="center"/>
        <w:rPr>
          <w:rFonts w:ascii="宋体" w:hAnsi="宋体"/>
          <w:b/>
          <w:color w:val="auto"/>
          <w:szCs w:val="21"/>
          <w:highlight w:val="none"/>
        </w:rPr>
      </w:pPr>
    </w:p>
    <w:p>
      <w:pPr>
        <w:pStyle w:val="2"/>
        <w:rPr>
          <w:rFonts w:hint="eastAsia" w:ascii="宋体" w:hAnsi="宋体"/>
          <w:color w:val="auto"/>
          <w:highlight w:val="none"/>
        </w:rPr>
      </w:pPr>
    </w:p>
    <w:p>
      <w:pPr>
        <w:adjustRightInd w:val="0"/>
        <w:snapToGrid w:val="0"/>
        <w:jc w:val="center"/>
        <w:rPr>
          <w:rFonts w:ascii="宋体" w:hAnsi="宋体"/>
          <w:b/>
          <w:color w:val="auto"/>
          <w:szCs w:val="21"/>
          <w:highlight w:val="none"/>
        </w:rPr>
      </w:pPr>
    </w:p>
    <w:p>
      <w:pPr>
        <w:adjustRightInd w:val="0"/>
        <w:snapToGrid w:val="0"/>
        <w:jc w:val="center"/>
        <w:rPr>
          <w:rFonts w:hint="eastAsia" w:ascii="宋体" w:hAnsi="宋体"/>
          <w:b/>
          <w:color w:val="auto"/>
          <w:sz w:val="24"/>
          <w:highlight w:val="none"/>
        </w:rPr>
      </w:pPr>
      <w:bookmarkStart w:id="16" w:name="_Toc377105629"/>
      <w:bookmarkStart w:id="17" w:name="_Toc343514745"/>
      <w:bookmarkStart w:id="18" w:name="_Toc343514338"/>
      <w:bookmarkStart w:id="19" w:name="_Toc385352037"/>
      <w:bookmarkStart w:id="20" w:name="_Toc343514643"/>
      <w:r>
        <w:rPr>
          <w:rFonts w:hint="eastAsia" w:ascii="宋体" w:hAnsi="宋体"/>
          <w:b/>
          <w:color w:val="auto"/>
          <w:sz w:val="24"/>
          <w:highlight w:val="none"/>
        </w:rPr>
        <w:t xml:space="preserve">附录4  </w:t>
      </w:r>
      <w:r>
        <w:rPr>
          <w:rFonts w:ascii="宋体" w:hAnsi="宋体"/>
          <w:b/>
          <w:color w:val="auto"/>
          <w:sz w:val="24"/>
          <w:highlight w:val="none"/>
        </w:rPr>
        <w:t>资格审查条件(</w:t>
      </w:r>
      <w:r>
        <w:rPr>
          <w:rFonts w:hint="eastAsia" w:ascii="宋体" w:hAnsi="宋体"/>
          <w:b/>
          <w:color w:val="auto"/>
          <w:sz w:val="24"/>
          <w:highlight w:val="none"/>
        </w:rPr>
        <w:t>主要人员最低要求</w:t>
      </w:r>
      <w:r>
        <w:rPr>
          <w:rFonts w:ascii="宋体" w:hAnsi="宋体"/>
          <w:b/>
          <w:color w:val="auto"/>
          <w:sz w:val="24"/>
          <w:highlight w:val="none"/>
        </w:rPr>
        <w:t>)</w:t>
      </w:r>
      <w:bookmarkEnd w:id="16"/>
      <w:bookmarkEnd w:id="17"/>
      <w:bookmarkEnd w:id="18"/>
      <w:bookmarkEnd w:id="19"/>
      <w:bookmarkEnd w:id="20"/>
      <w:r>
        <w:rPr>
          <w:rFonts w:hint="eastAsia" w:ascii="宋体" w:hAnsi="宋体"/>
          <w:b/>
          <w:color w:val="auto"/>
          <w:sz w:val="24"/>
          <w:highlight w:val="none"/>
        </w:rPr>
        <w:t xml:space="preserve"> </w:t>
      </w:r>
    </w:p>
    <w:tbl>
      <w:tblPr>
        <w:tblStyle w:val="4"/>
        <w:tblW w:w="93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9"/>
        <w:gridCol w:w="676"/>
        <w:gridCol w:w="5256"/>
        <w:gridCol w:w="2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blHeader/>
          <w:jc w:val="center"/>
        </w:trPr>
        <w:tc>
          <w:tcPr>
            <w:tcW w:w="1429" w:type="dxa"/>
            <w:noWrap w:val="0"/>
            <w:vAlign w:val="center"/>
          </w:tcPr>
          <w:p>
            <w:pPr>
              <w:pStyle w:val="3"/>
              <w:spacing w:before="0" w:beforeAutospacing="0" w:after="0" w:afterAutospacing="0"/>
              <w:contextualSpacing/>
              <w:jc w:val="center"/>
              <w:rPr>
                <w:rFonts w:hAnsi="宋体" w:cs="Arial"/>
                <w:color w:val="auto"/>
                <w:sz w:val="21"/>
                <w:szCs w:val="21"/>
                <w:highlight w:val="none"/>
              </w:rPr>
            </w:pPr>
            <w:r>
              <w:rPr>
                <w:rFonts w:hint="eastAsia" w:hAnsi="宋体" w:cs="Arial"/>
                <w:color w:val="auto"/>
                <w:sz w:val="21"/>
                <w:szCs w:val="21"/>
                <w:highlight w:val="none"/>
              </w:rPr>
              <w:t>人员</w:t>
            </w:r>
          </w:p>
        </w:tc>
        <w:tc>
          <w:tcPr>
            <w:tcW w:w="676" w:type="dxa"/>
            <w:noWrap w:val="0"/>
            <w:vAlign w:val="center"/>
          </w:tcPr>
          <w:p>
            <w:pPr>
              <w:pStyle w:val="3"/>
              <w:spacing w:before="0" w:beforeAutospacing="0" w:after="0" w:afterAutospacing="0"/>
              <w:contextualSpacing/>
              <w:jc w:val="center"/>
              <w:rPr>
                <w:rFonts w:hint="eastAsia" w:hAnsi="宋体" w:cs="Arial"/>
                <w:color w:val="auto"/>
                <w:sz w:val="21"/>
                <w:szCs w:val="21"/>
                <w:highlight w:val="none"/>
              </w:rPr>
            </w:pPr>
            <w:r>
              <w:rPr>
                <w:rFonts w:hint="eastAsia" w:hAnsi="宋体" w:cs="Arial"/>
                <w:color w:val="auto"/>
                <w:sz w:val="21"/>
                <w:szCs w:val="21"/>
                <w:highlight w:val="none"/>
              </w:rPr>
              <w:t>数量</w:t>
            </w:r>
          </w:p>
        </w:tc>
        <w:tc>
          <w:tcPr>
            <w:tcW w:w="5256" w:type="dxa"/>
            <w:tcBorders>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资格要求</w:t>
            </w:r>
          </w:p>
        </w:tc>
        <w:tc>
          <w:tcPr>
            <w:tcW w:w="2029" w:type="dxa"/>
            <w:tcBorders>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6" w:hRule="atLeast"/>
          <w:jc w:val="center"/>
        </w:trPr>
        <w:tc>
          <w:tcPr>
            <w:tcW w:w="1429" w:type="dxa"/>
            <w:noWrap w:val="0"/>
            <w:vAlign w:val="center"/>
          </w:tcPr>
          <w:p>
            <w:pPr>
              <w:spacing w:line="240" w:lineRule="exact"/>
              <w:jc w:val="center"/>
              <w:rPr>
                <w:rFonts w:hint="eastAsia" w:ascii="宋体" w:hAnsi="宋体"/>
                <w:color w:val="auto"/>
                <w:szCs w:val="21"/>
                <w:highlight w:val="none"/>
              </w:rPr>
            </w:pPr>
            <w:r>
              <w:rPr>
                <w:rFonts w:hint="eastAsia" w:ascii="宋体" w:hAnsi="宋体"/>
                <w:color w:val="auto"/>
                <w:szCs w:val="21"/>
                <w:highlight w:val="none"/>
              </w:rPr>
              <w:t>总监理工程师</w:t>
            </w:r>
          </w:p>
        </w:tc>
        <w:tc>
          <w:tcPr>
            <w:tcW w:w="676" w:type="dxa"/>
            <w:noWrap w:val="0"/>
            <w:vAlign w:val="center"/>
          </w:tcPr>
          <w:p>
            <w:pPr>
              <w:spacing w:line="24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5256" w:type="dxa"/>
            <w:tcBorders>
              <w:right w:val="single" w:color="auto" w:sz="4" w:space="0"/>
            </w:tcBorders>
            <w:noWrap w:val="0"/>
            <w:vAlign w:val="center"/>
          </w:tcPr>
          <w:p>
            <w:pPr>
              <w:spacing w:line="288" w:lineRule="auto"/>
              <w:ind w:firstLine="420" w:firstLineChars="200"/>
              <w:rPr>
                <w:rFonts w:hint="eastAsia" w:ascii="宋体" w:hAnsi="宋体"/>
                <w:color w:val="auto"/>
                <w:highlight w:val="none"/>
              </w:rPr>
            </w:pPr>
            <w:r>
              <w:rPr>
                <w:rFonts w:hint="eastAsia" w:ascii="宋体" w:hAnsi="宋体"/>
                <w:color w:val="auto"/>
                <w:highlight w:val="none"/>
              </w:rPr>
              <w:t>高级工程师，具有</w:t>
            </w:r>
            <w:r>
              <w:rPr>
                <w:rFonts w:hint="eastAsia" w:ascii="宋体" w:hAnsi="宋体"/>
                <w:color w:val="auto"/>
                <w:highlight w:val="none"/>
                <w:lang w:eastAsia="zh-CN"/>
              </w:rPr>
              <w:t>注册监理工程师执业证书</w:t>
            </w:r>
            <w:r>
              <w:rPr>
                <w:rFonts w:hint="eastAsia" w:ascii="宋体" w:hAnsi="宋体"/>
                <w:color w:val="auto"/>
                <w:highlight w:val="none"/>
              </w:rPr>
              <w:t>（电力工程），注册单位名称须与投标人单位名称一致。</w:t>
            </w:r>
          </w:p>
          <w:p>
            <w:pPr>
              <w:spacing w:line="288" w:lineRule="auto"/>
              <w:ind w:firstLine="420" w:firstLineChars="200"/>
              <w:rPr>
                <w:rFonts w:hint="eastAsia"/>
                <w:color w:val="auto"/>
                <w:highlight w:val="none"/>
              </w:rPr>
            </w:pPr>
            <w:r>
              <w:rPr>
                <w:rFonts w:hint="eastAsia" w:ascii="宋体" w:hAnsi="宋体"/>
                <w:color w:val="auto"/>
                <w:highlight w:val="none"/>
                <w:lang w:eastAsia="zh-CN"/>
              </w:rPr>
              <w:t>至少担任</w:t>
            </w:r>
            <w:r>
              <w:rPr>
                <w:rFonts w:hint="eastAsia" w:ascii="宋体" w:hAnsi="宋体"/>
                <w:color w:val="auto"/>
                <w:highlight w:val="none"/>
              </w:rPr>
              <w:t>过</w:t>
            </w:r>
            <w:r>
              <w:rPr>
                <w:rFonts w:hint="eastAsia" w:ascii="宋体" w:hAnsi="宋体"/>
                <w:color w:val="auto"/>
                <w:highlight w:val="none"/>
                <w:lang w:eastAsia="zh-CN"/>
              </w:rPr>
              <w:t>1项35KV</w:t>
            </w:r>
            <w:r>
              <w:rPr>
                <w:rFonts w:hint="eastAsia" w:ascii="宋体" w:hAnsi="宋体"/>
                <w:color w:val="auto"/>
                <w:highlight w:val="none"/>
              </w:rPr>
              <w:t>或以上电压等级的</w:t>
            </w:r>
            <w:r>
              <w:rPr>
                <w:rFonts w:hint="eastAsia" w:ascii="宋体" w:hAnsi="宋体"/>
                <w:color w:val="auto"/>
                <w:highlight w:val="none"/>
                <w:lang w:eastAsia="zh-CN"/>
              </w:rPr>
              <w:t>电力工程施工监理</w:t>
            </w:r>
            <w:r>
              <w:rPr>
                <w:rFonts w:hint="eastAsia" w:ascii="宋体" w:hAnsi="宋体"/>
                <w:color w:val="auto"/>
                <w:highlight w:val="none"/>
              </w:rPr>
              <w:t>的总监理工程师。</w:t>
            </w:r>
          </w:p>
        </w:tc>
        <w:tc>
          <w:tcPr>
            <w:tcW w:w="2029" w:type="dxa"/>
            <w:tcBorders>
              <w:right w:val="single" w:color="auto" w:sz="4" w:space="0"/>
            </w:tcBorders>
            <w:noWrap w:val="0"/>
            <w:vAlign w:val="center"/>
          </w:tcPr>
          <w:p>
            <w:pPr>
              <w:spacing w:line="288" w:lineRule="auto"/>
              <w:rPr>
                <w:rFonts w:hint="eastAsia"/>
                <w:color w:val="auto"/>
                <w:highlight w:val="none"/>
              </w:rPr>
            </w:pPr>
            <w:r>
              <w:rPr>
                <w:rFonts w:hint="eastAsia" w:ascii="宋体" w:hAnsi="宋体"/>
                <w:color w:val="auto"/>
                <w:highlight w:val="none"/>
              </w:rPr>
              <w:t>目前未在其他项目上任职，或虽在其他项目上任职但本项目中标后能够从该项目撤离</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ZTNlMDU5OWVmMjRlOWVkNzFjNTA0OGZjMTMzODUifQ=="/>
  </w:docVars>
  <w:rsids>
    <w:rsidRoot w:val="7A66324C"/>
    <w:rsid w:val="7A663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Normal (Web)"/>
    <w:basedOn w:val="1"/>
    <w:qFormat/>
    <w:uiPriority w:val="0"/>
    <w:pPr>
      <w:widowControl/>
      <w:spacing w:before="100" w:beforeAutospacing="1" w:after="100" w:afterAutospacing="1"/>
      <w:jc w:val="left"/>
    </w:pPr>
    <w:rPr>
      <w:rFonts w:ascii="宋体"/>
      <w:color w:val="0000FF"/>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2025-08-04T02:12:00Z</dcterms:created>
  <dc:creator>赵凌云</dc:creator>
  <cp:lastModifiedBy>赵凌云</cp:lastModifiedBy>
  <dcterms:modified xsi:type="dcterms:W3CDTF">2025-08-04T02:12:38Z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C086E63EEE9645B6850DC811FCCC0D14_11</vt:lpwstr>
  </property>
</Properties>
</file>