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B36DD">
      <w:pPr>
        <w:adjustRightInd w:val="0"/>
        <w:spacing w:line="400" w:lineRule="exact"/>
        <w:jc w:val="left"/>
        <w:rPr>
          <w:rFonts w:ascii="宋体" w:hAnsi="宋体"/>
          <w:b/>
          <w:color w:val="auto"/>
          <w:sz w:val="24"/>
          <w:highlight w:val="none"/>
        </w:rPr>
      </w:pPr>
      <w:r>
        <w:rPr>
          <w:rFonts w:hint="eastAsia" w:ascii="宋体" w:hAnsi="宋体"/>
          <w:b/>
          <w:color w:val="auto"/>
          <w:sz w:val="24"/>
          <w:highlight w:val="none"/>
        </w:rPr>
        <w:t>附件2：评标办法</w:t>
      </w:r>
    </w:p>
    <w:p w14:paraId="46CBCF4F">
      <w:pPr>
        <w:pStyle w:val="8"/>
        <w:spacing w:line="276" w:lineRule="auto"/>
        <w:rPr>
          <w:rFonts w:ascii="宋体" w:hAnsi="宋体" w:eastAsia="宋体"/>
          <w:color w:val="auto"/>
          <w:sz w:val="30"/>
          <w:szCs w:val="30"/>
          <w:highlight w:val="none"/>
        </w:rPr>
      </w:pPr>
      <w:bookmarkStart w:id="0" w:name="_Toc450319202"/>
      <w:bookmarkStart w:id="1" w:name="_Toc502992691"/>
      <w:bookmarkStart w:id="2" w:name="_Toc459307890"/>
      <w:bookmarkStart w:id="3" w:name="_Toc511635241"/>
      <w:bookmarkStart w:id="4" w:name="_Toc509846348"/>
      <w:bookmarkStart w:id="5" w:name="_Toc509660966"/>
      <w:bookmarkStart w:id="6" w:name="_Toc101801418"/>
      <w:bookmarkStart w:id="7" w:name="_Toc509659998"/>
      <w:bookmarkStart w:id="8" w:name="_Toc445222503"/>
      <w:bookmarkStart w:id="9" w:name="_Toc444088432"/>
      <w:bookmarkStart w:id="10" w:name="_Toc445382083"/>
      <w:bookmarkStart w:id="11" w:name="_Toc444271617"/>
      <w:r>
        <w:rPr>
          <w:rFonts w:hint="eastAsia" w:ascii="宋体" w:hAnsi="宋体" w:eastAsia="宋体"/>
          <w:color w:val="auto"/>
          <w:sz w:val="30"/>
          <w:szCs w:val="30"/>
          <w:highlight w:val="none"/>
        </w:rPr>
        <w:t>评标办法（综合评估法）</w:t>
      </w:r>
      <w:bookmarkEnd w:id="0"/>
      <w:bookmarkEnd w:id="1"/>
      <w:bookmarkEnd w:id="2"/>
      <w:bookmarkEnd w:id="3"/>
      <w:bookmarkEnd w:id="4"/>
      <w:bookmarkEnd w:id="5"/>
      <w:bookmarkEnd w:id="6"/>
      <w:bookmarkEnd w:id="7"/>
    </w:p>
    <w:bookmarkEnd w:id="8"/>
    <w:bookmarkEnd w:id="9"/>
    <w:bookmarkEnd w:id="10"/>
    <w:bookmarkEnd w:id="11"/>
    <w:p w14:paraId="5131959F">
      <w:pPr>
        <w:pStyle w:val="9"/>
        <w:spacing w:line="276" w:lineRule="auto"/>
        <w:jc w:val="center"/>
        <w:rPr>
          <w:rFonts w:ascii="宋体" w:hAnsi="宋体"/>
          <w:color w:val="auto"/>
          <w:sz w:val="24"/>
          <w:szCs w:val="24"/>
          <w:highlight w:val="none"/>
          <w:vertAlign w:val="superscript"/>
        </w:rPr>
      </w:pPr>
      <w:bookmarkStart w:id="12" w:name="_Toc511635242"/>
      <w:bookmarkStart w:id="13" w:name="_Toc101801419"/>
      <w:bookmarkStart w:id="14" w:name="_Hlk102120823"/>
      <w:r>
        <w:rPr>
          <w:rFonts w:hint="eastAsia" w:ascii="宋体" w:hAnsi="宋体"/>
          <w:color w:val="auto"/>
          <w:sz w:val="24"/>
          <w:szCs w:val="24"/>
          <w:highlight w:val="none"/>
        </w:rPr>
        <w:t>评标办法前附表</w:t>
      </w:r>
      <w:bookmarkEnd w:id="12"/>
      <w:bookmarkEnd w:id="13"/>
    </w:p>
    <w:tbl>
      <w:tblPr>
        <w:tblStyle w:val="6"/>
        <w:tblW w:w="9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277"/>
        <w:gridCol w:w="7583"/>
      </w:tblGrid>
      <w:tr w14:paraId="77DD9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1072" w:type="dxa"/>
            <w:vAlign w:val="center"/>
          </w:tcPr>
          <w:p w14:paraId="65F0433E">
            <w:pPr>
              <w:spacing w:line="288" w:lineRule="auto"/>
              <w:jc w:val="center"/>
              <w:rPr>
                <w:rFonts w:ascii="宋体" w:hAnsi="宋体"/>
                <w:color w:val="auto"/>
                <w:sz w:val="21"/>
                <w:szCs w:val="21"/>
                <w:highlight w:val="none"/>
              </w:rPr>
            </w:pPr>
            <w:r>
              <w:rPr>
                <w:rFonts w:hint="eastAsia" w:ascii="宋体" w:hAnsi="宋体"/>
                <w:color w:val="auto"/>
                <w:sz w:val="21"/>
                <w:szCs w:val="21"/>
                <w:highlight w:val="none"/>
              </w:rPr>
              <w:t>条款号</w:t>
            </w:r>
          </w:p>
        </w:tc>
        <w:tc>
          <w:tcPr>
            <w:tcW w:w="1277" w:type="dxa"/>
            <w:vAlign w:val="center"/>
          </w:tcPr>
          <w:p w14:paraId="119C6EAC">
            <w:pPr>
              <w:spacing w:line="288" w:lineRule="auto"/>
              <w:jc w:val="center"/>
              <w:rPr>
                <w:rFonts w:ascii="宋体" w:hAnsi="宋体"/>
                <w:color w:val="auto"/>
                <w:sz w:val="21"/>
                <w:szCs w:val="21"/>
                <w:highlight w:val="none"/>
              </w:rPr>
            </w:pPr>
            <w:r>
              <w:rPr>
                <w:rFonts w:hint="eastAsia" w:ascii="宋体" w:hAnsi="宋体"/>
                <w:color w:val="auto"/>
                <w:sz w:val="21"/>
                <w:szCs w:val="21"/>
                <w:highlight w:val="none"/>
              </w:rPr>
              <w:t>条款名称</w:t>
            </w:r>
          </w:p>
        </w:tc>
        <w:tc>
          <w:tcPr>
            <w:tcW w:w="7583" w:type="dxa"/>
            <w:vAlign w:val="center"/>
          </w:tcPr>
          <w:p w14:paraId="6379E962">
            <w:pPr>
              <w:spacing w:line="288" w:lineRule="auto"/>
              <w:jc w:val="center"/>
              <w:rPr>
                <w:rFonts w:ascii="宋体" w:hAnsi="宋体"/>
                <w:color w:val="auto"/>
                <w:sz w:val="21"/>
                <w:szCs w:val="21"/>
                <w:highlight w:val="none"/>
              </w:rPr>
            </w:pPr>
            <w:r>
              <w:rPr>
                <w:rFonts w:hint="eastAsia" w:ascii="宋体" w:hAnsi="宋体"/>
                <w:color w:val="auto"/>
                <w:sz w:val="21"/>
                <w:szCs w:val="21"/>
                <w:highlight w:val="none"/>
              </w:rPr>
              <w:t>评审因素与评审标准</w:t>
            </w:r>
          </w:p>
        </w:tc>
      </w:tr>
      <w:tr w14:paraId="5EB8C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1072" w:type="dxa"/>
            <w:vAlign w:val="center"/>
          </w:tcPr>
          <w:p w14:paraId="65EAA23B">
            <w:pPr>
              <w:spacing w:line="288" w:lineRule="auto"/>
              <w:jc w:val="center"/>
              <w:rPr>
                <w:rFonts w:ascii="宋体" w:hAnsi="宋体"/>
                <w:color w:val="auto"/>
                <w:sz w:val="21"/>
                <w:szCs w:val="21"/>
                <w:highlight w:val="none"/>
              </w:rPr>
            </w:pPr>
            <w:r>
              <w:rPr>
                <w:rFonts w:ascii="宋体" w:hAnsi="宋体"/>
                <w:color w:val="auto"/>
                <w:sz w:val="21"/>
                <w:szCs w:val="21"/>
                <w:highlight w:val="none"/>
              </w:rPr>
              <w:t>1</w:t>
            </w:r>
          </w:p>
        </w:tc>
        <w:tc>
          <w:tcPr>
            <w:tcW w:w="1277" w:type="dxa"/>
            <w:vAlign w:val="center"/>
          </w:tcPr>
          <w:p w14:paraId="0FA626DD">
            <w:pPr>
              <w:spacing w:line="288" w:lineRule="auto"/>
              <w:jc w:val="center"/>
              <w:rPr>
                <w:rFonts w:ascii="宋体" w:hAnsi="宋体"/>
                <w:color w:val="auto"/>
                <w:sz w:val="21"/>
                <w:szCs w:val="21"/>
                <w:highlight w:val="none"/>
              </w:rPr>
            </w:pPr>
            <w:r>
              <w:rPr>
                <w:rFonts w:hint="eastAsia" w:ascii="宋体" w:hAnsi="宋体"/>
                <w:color w:val="auto"/>
                <w:sz w:val="21"/>
                <w:szCs w:val="21"/>
                <w:highlight w:val="none"/>
              </w:rPr>
              <w:t>评标办法</w:t>
            </w:r>
          </w:p>
        </w:tc>
        <w:tc>
          <w:tcPr>
            <w:tcW w:w="7583" w:type="dxa"/>
            <w:vAlign w:val="center"/>
          </w:tcPr>
          <w:p w14:paraId="7333204B">
            <w:pPr>
              <w:spacing w:line="288" w:lineRule="auto"/>
              <w:ind w:firstLine="404" w:firstLineChars="200"/>
              <w:rPr>
                <w:rFonts w:hint="eastAsia" w:ascii="宋体" w:hAnsi="宋体"/>
                <w:color w:val="auto"/>
                <w:sz w:val="21"/>
                <w:szCs w:val="21"/>
                <w:highlight w:val="none"/>
              </w:rPr>
            </w:pPr>
            <w:r>
              <w:rPr>
                <w:rFonts w:hint="eastAsia" w:ascii="宋体" w:hAnsi="宋体"/>
                <w:color w:val="auto"/>
                <w:spacing w:val="-4"/>
                <w:sz w:val="21"/>
                <w:szCs w:val="21"/>
                <w:highlight w:val="none"/>
              </w:rPr>
              <w:t>本条修改为：</w:t>
            </w:r>
          </w:p>
          <w:p w14:paraId="428F9020">
            <w:pPr>
              <w:spacing w:line="288"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本次评标采用综合评估法。评标委员会对满足招标文件实质性要求的投标文件，按照第三章第</w:t>
            </w:r>
            <w:r>
              <w:rPr>
                <w:rFonts w:ascii="宋体" w:hAnsi="宋体"/>
                <w:color w:val="auto"/>
                <w:sz w:val="21"/>
                <w:szCs w:val="21"/>
                <w:highlight w:val="none"/>
              </w:rPr>
              <w:t>2.2款规定的评分标准进行打分，并按得分由高到低顺序推荐1-3名中标候选人。</w:t>
            </w:r>
          </w:p>
          <w:p w14:paraId="01BD399D">
            <w:pPr>
              <w:spacing w:line="288" w:lineRule="auto"/>
              <w:ind w:firstLine="404" w:firstLineChars="200"/>
              <w:rPr>
                <w:rFonts w:ascii="宋体" w:hAnsi="宋体"/>
                <w:color w:val="auto"/>
                <w:spacing w:val="-4"/>
                <w:sz w:val="21"/>
                <w:szCs w:val="21"/>
                <w:highlight w:val="none"/>
              </w:rPr>
            </w:pPr>
            <w:r>
              <w:rPr>
                <w:rFonts w:hint="eastAsia" w:ascii="宋体" w:hAnsi="宋体"/>
                <w:color w:val="auto"/>
                <w:spacing w:val="-4"/>
                <w:sz w:val="21"/>
                <w:szCs w:val="21"/>
                <w:highlight w:val="none"/>
              </w:rPr>
              <w:t>综合评分相等时，评标委员会依次按照以下优先顺序推荐中标候选人或确定中标人：</w:t>
            </w:r>
          </w:p>
          <w:p w14:paraId="4067D09A">
            <w:pPr>
              <w:spacing w:line="288" w:lineRule="auto"/>
              <w:ind w:firstLine="404" w:firstLineChars="200"/>
              <w:rPr>
                <w:rFonts w:ascii="宋体" w:hAnsi="宋体"/>
                <w:color w:val="auto"/>
                <w:spacing w:val="-4"/>
                <w:sz w:val="21"/>
                <w:szCs w:val="21"/>
                <w:highlight w:val="none"/>
              </w:rPr>
            </w:pPr>
            <w:r>
              <w:rPr>
                <w:rFonts w:hint="eastAsia" w:ascii="宋体" w:hAnsi="宋体"/>
                <w:color w:val="auto"/>
                <w:spacing w:val="-4"/>
                <w:sz w:val="21"/>
                <w:szCs w:val="21"/>
                <w:highlight w:val="none"/>
              </w:rPr>
              <w:t>（</w:t>
            </w:r>
            <w:r>
              <w:rPr>
                <w:rFonts w:ascii="宋体" w:hAnsi="宋体"/>
                <w:color w:val="auto"/>
                <w:spacing w:val="-4"/>
                <w:sz w:val="21"/>
                <w:szCs w:val="21"/>
                <w:highlight w:val="none"/>
              </w:rPr>
              <w:t>1）评标价低的投标人优先；</w:t>
            </w:r>
          </w:p>
          <w:p w14:paraId="0216C075">
            <w:pPr>
              <w:spacing w:line="288" w:lineRule="auto"/>
              <w:ind w:firstLine="404" w:firstLineChars="200"/>
              <w:rPr>
                <w:rFonts w:ascii="宋体" w:hAnsi="宋体"/>
                <w:color w:val="auto"/>
                <w:spacing w:val="-4"/>
                <w:sz w:val="21"/>
                <w:szCs w:val="21"/>
                <w:highlight w:val="none"/>
              </w:rPr>
            </w:pPr>
            <w:r>
              <w:rPr>
                <w:rFonts w:hint="eastAsia" w:ascii="宋体" w:hAnsi="宋体"/>
                <w:color w:val="auto"/>
                <w:spacing w:val="-4"/>
                <w:sz w:val="21"/>
                <w:szCs w:val="21"/>
                <w:highlight w:val="none"/>
              </w:rPr>
              <w:t>（</w:t>
            </w:r>
            <w:r>
              <w:rPr>
                <w:rFonts w:ascii="宋体" w:hAnsi="宋体"/>
                <w:color w:val="auto"/>
                <w:spacing w:val="-4"/>
                <w:sz w:val="21"/>
                <w:szCs w:val="21"/>
                <w:highlight w:val="none"/>
              </w:rPr>
              <w:t>2）商务和技术得分较高的优先；</w:t>
            </w:r>
          </w:p>
          <w:p w14:paraId="352E8444">
            <w:pPr>
              <w:spacing w:line="288" w:lineRule="auto"/>
              <w:ind w:firstLine="404" w:firstLineChars="200"/>
              <w:rPr>
                <w:rFonts w:ascii="宋体" w:hAnsi="宋体"/>
                <w:color w:val="auto"/>
                <w:sz w:val="21"/>
                <w:szCs w:val="21"/>
                <w:highlight w:val="none"/>
              </w:rPr>
            </w:pPr>
            <w:r>
              <w:rPr>
                <w:rFonts w:hint="eastAsia" w:ascii="宋体" w:hAnsi="宋体"/>
                <w:color w:val="auto"/>
                <w:spacing w:val="-4"/>
                <w:sz w:val="21"/>
                <w:szCs w:val="21"/>
                <w:highlight w:val="none"/>
              </w:rPr>
              <w:t>（</w:t>
            </w:r>
            <w:r>
              <w:rPr>
                <w:rFonts w:ascii="宋体" w:hAnsi="宋体"/>
                <w:color w:val="auto"/>
                <w:spacing w:val="-4"/>
                <w:sz w:val="21"/>
                <w:szCs w:val="21"/>
                <w:highlight w:val="none"/>
              </w:rPr>
              <w:t>3）满足资格审查条件（业绩最低条件）要求所附业绩中最高合同金额较大的优先。或者满足资格审查条件（业绩最低条件）要求所附业绩数量最多的。</w:t>
            </w:r>
          </w:p>
        </w:tc>
      </w:tr>
      <w:tr w14:paraId="2754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72" w:type="dxa"/>
            <w:vAlign w:val="center"/>
          </w:tcPr>
          <w:p w14:paraId="66E786FA">
            <w:pPr>
              <w:spacing w:line="288" w:lineRule="auto"/>
              <w:jc w:val="center"/>
              <w:rPr>
                <w:rFonts w:ascii="宋体" w:hAnsi="宋体"/>
                <w:color w:val="auto"/>
                <w:sz w:val="21"/>
                <w:szCs w:val="21"/>
                <w:highlight w:val="none"/>
              </w:rPr>
            </w:pPr>
            <w:r>
              <w:rPr>
                <w:rFonts w:ascii="宋体" w:hAnsi="宋体"/>
                <w:color w:val="auto"/>
                <w:sz w:val="21"/>
                <w:szCs w:val="21"/>
                <w:highlight w:val="none"/>
              </w:rPr>
              <w:t>2.1.1</w:t>
            </w:r>
          </w:p>
          <w:p w14:paraId="1D5DE37A">
            <w:pPr>
              <w:spacing w:line="288" w:lineRule="auto"/>
              <w:jc w:val="center"/>
              <w:rPr>
                <w:rFonts w:ascii="宋体" w:hAnsi="宋体"/>
                <w:color w:val="auto"/>
                <w:sz w:val="21"/>
                <w:szCs w:val="21"/>
                <w:highlight w:val="none"/>
              </w:rPr>
            </w:pPr>
            <w:r>
              <w:rPr>
                <w:rFonts w:ascii="宋体" w:hAnsi="宋体"/>
                <w:color w:val="auto"/>
                <w:sz w:val="21"/>
                <w:szCs w:val="21"/>
                <w:highlight w:val="none"/>
              </w:rPr>
              <w:t>2.1.3</w:t>
            </w:r>
          </w:p>
        </w:tc>
        <w:tc>
          <w:tcPr>
            <w:tcW w:w="1277" w:type="dxa"/>
            <w:vAlign w:val="center"/>
          </w:tcPr>
          <w:p w14:paraId="15D86CFB">
            <w:pPr>
              <w:spacing w:line="288" w:lineRule="auto"/>
              <w:jc w:val="center"/>
              <w:rPr>
                <w:rFonts w:ascii="宋体" w:hAnsi="宋体"/>
                <w:color w:val="auto"/>
                <w:sz w:val="21"/>
                <w:szCs w:val="21"/>
                <w:highlight w:val="none"/>
              </w:rPr>
            </w:pPr>
            <w:r>
              <w:rPr>
                <w:rFonts w:hint="eastAsia" w:ascii="宋体" w:hAnsi="宋体"/>
                <w:color w:val="auto"/>
                <w:sz w:val="21"/>
                <w:szCs w:val="21"/>
                <w:highlight w:val="none"/>
              </w:rPr>
              <w:t>形式评审与响应性评审标准</w:t>
            </w:r>
          </w:p>
        </w:tc>
        <w:tc>
          <w:tcPr>
            <w:tcW w:w="7583" w:type="dxa"/>
          </w:tcPr>
          <w:p w14:paraId="17B99DC9">
            <w:pPr>
              <w:tabs>
                <w:tab w:val="left" w:pos="3060"/>
              </w:tabs>
              <w:spacing w:line="288" w:lineRule="auto"/>
              <w:rPr>
                <w:rFonts w:ascii="宋体" w:hAnsi="宋体"/>
                <w:b/>
                <w:color w:val="auto"/>
                <w:sz w:val="21"/>
                <w:szCs w:val="21"/>
                <w:highlight w:val="none"/>
              </w:rPr>
            </w:pPr>
            <w:r>
              <w:rPr>
                <w:rFonts w:hint="eastAsia" w:ascii="宋体" w:hAnsi="宋体"/>
                <w:b/>
                <w:color w:val="auto"/>
                <w:sz w:val="21"/>
                <w:szCs w:val="21"/>
                <w:highlight w:val="none"/>
              </w:rPr>
              <w:t>第一个信封（商务及技术文件）评审标准</w:t>
            </w:r>
            <w:r>
              <w:rPr>
                <w:rFonts w:ascii="宋体" w:hAnsi="宋体"/>
                <w:b/>
                <w:color w:val="auto"/>
                <w:sz w:val="21"/>
                <w:szCs w:val="21"/>
                <w:highlight w:val="none"/>
              </w:rPr>
              <w:t>:</w:t>
            </w:r>
          </w:p>
          <w:p w14:paraId="60D5F22E">
            <w:pPr>
              <w:tabs>
                <w:tab w:val="left" w:pos="3060"/>
              </w:tabs>
              <w:spacing w:line="288"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1）投标文件按照招标文件规定的格式、内容填写，字迹清晰可辩：</w:t>
            </w:r>
          </w:p>
          <w:p w14:paraId="43CBF512">
            <w:pPr>
              <w:tabs>
                <w:tab w:val="left" w:pos="3060"/>
              </w:tabs>
              <w:spacing w:line="288" w:lineRule="auto"/>
              <w:ind w:firstLine="420" w:firstLineChars="200"/>
              <w:rPr>
                <w:rFonts w:ascii="宋体" w:hAnsi="宋体"/>
                <w:color w:val="auto"/>
                <w:sz w:val="21"/>
                <w:szCs w:val="21"/>
                <w:highlight w:val="none"/>
              </w:rPr>
            </w:pPr>
            <w:r>
              <w:rPr>
                <w:rFonts w:ascii="宋体" w:hAnsi="宋体"/>
                <w:color w:val="auto"/>
                <w:sz w:val="21"/>
                <w:szCs w:val="21"/>
                <w:highlight w:val="none"/>
              </w:rPr>
              <w:t>a、投标函按招标文件规定填报了项目名称、标段号</w:t>
            </w:r>
            <w:r>
              <w:rPr>
                <w:rFonts w:hint="eastAsia" w:ascii="宋体" w:hAnsi="宋体"/>
                <w:color w:val="auto"/>
                <w:sz w:val="21"/>
                <w:szCs w:val="21"/>
                <w:highlight w:val="none"/>
              </w:rPr>
              <w:t>（如有）、补遗书编号（如有）、项目负责人信息、服务期限、工程质量要求及安全目标；</w:t>
            </w:r>
          </w:p>
          <w:p w14:paraId="7080B17F">
            <w:pPr>
              <w:tabs>
                <w:tab w:val="left" w:pos="3060"/>
              </w:tabs>
              <w:spacing w:line="288" w:lineRule="auto"/>
              <w:ind w:firstLine="420" w:firstLineChars="200"/>
              <w:rPr>
                <w:rFonts w:ascii="宋体" w:hAnsi="宋体"/>
                <w:color w:val="auto"/>
                <w:sz w:val="21"/>
                <w:szCs w:val="21"/>
                <w:highlight w:val="none"/>
              </w:rPr>
            </w:pPr>
            <w:r>
              <w:rPr>
                <w:rFonts w:ascii="宋体" w:hAnsi="宋体"/>
                <w:color w:val="auto"/>
                <w:sz w:val="21"/>
                <w:szCs w:val="21"/>
                <w:highlight w:val="none"/>
              </w:rPr>
              <w:t>b、投标文件组成齐全完整，内容均按规定填写。</w:t>
            </w:r>
          </w:p>
          <w:p w14:paraId="7A8D9413">
            <w:pPr>
              <w:tabs>
                <w:tab w:val="left" w:pos="3060"/>
              </w:tabs>
              <w:spacing w:line="288" w:lineRule="auto"/>
              <w:ind w:firstLine="210" w:firstLineChars="100"/>
              <w:rPr>
                <w:rFonts w:ascii="宋体" w:hAnsi="宋体"/>
                <w:b/>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2）投标文件上法定代表人或其委托代理人的签字、投标人的单位章盖章齐全，符合招标文件规定。</w:t>
            </w:r>
          </w:p>
          <w:p w14:paraId="225DF03E">
            <w:pPr>
              <w:tabs>
                <w:tab w:val="left" w:pos="3060"/>
              </w:tabs>
              <w:spacing w:line="288"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3）</w:t>
            </w:r>
            <w:r>
              <w:rPr>
                <w:rFonts w:hint="eastAsia" w:ascii="宋体" w:hAnsi="宋体"/>
                <w:color w:val="auto"/>
                <w:sz w:val="21"/>
                <w:szCs w:val="21"/>
                <w:highlight w:val="none"/>
              </w:rPr>
              <w:t>投标人按照招标文件规定的金额、形式、时效和内容提供了投标保证金：</w:t>
            </w:r>
          </w:p>
          <w:p w14:paraId="1E83377D">
            <w:pPr>
              <w:tabs>
                <w:tab w:val="left" w:pos="3060"/>
              </w:tabs>
              <w:spacing w:line="288" w:lineRule="auto"/>
              <w:ind w:firstLine="210" w:firstLineChars="100"/>
              <w:rPr>
                <w:rFonts w:ascii="宋体" w:hAnsi="宋体"/>
                <w:color w:val="auto"/>
                <w:sz w:val="21"/>
                <w:szCs w:val="21"/>
                <w:highlight w:val="none"/>
              </w:rPr>
            </w:pPr>
            <w:r>
              <w:rPr>
                <w:rFonts w:ascii="宋体" w:hAnsi="宋体"/>
                <w:color w:val="auto"/>
                <w:sz w:val="21"/>
                <w:szCs w:val="21"/>
                <w:highlight w:val="none"/>
              </w:rPr>
              <w:t>a.投标保证金金额符合招标文件规定的金额，且投标保证金有效期不少于投标有效期；</w:t>
            </w:r>
          </w:p>
          <w:p w14:paraId="61F2C72E">
            <w:pPr>
              <w:tabs>
                <w:tab w:val="left" w:pos="3060"/>
              </w:tabs>
              <w:spacing w:line="288" w:lineRule="auto"/>
              <w:ind w:firstLine="210" w:firstLineChars="100"/>
              <w:rPr>
                <w:rFonts w:ascii="宋体" w:hAnsi="宋体"/>
                <w:color w:val="auto"/>
                <w:sz w:val="21"/>
                <w:szCs w:val="21"/>
                <w:highlight w:val="none"/>
              </w:rPr>
            </w:pPr>
            <w:r>
              <w:rPr>
                <w:rFonts w:ascii="宋体" w:hAnsi="宋体"/>
                <w:color w:val="auto"/>
                <w:sz w:val="21"/>
                <w:szCs w:val="21"/>
                <w:highlight w:val="none"/>
              </w:rPr>
              <w:t>b.若投标保证金采用现金或支票形式提交，投标人应在递交投标文件截止时间之前，将投标保证金由投标人的基本账户转入招标人指定账户；</w:t>
            </w:r>
          </w:p>
          <w:p w14:paraId="329A132A">
            <w:pPr>
              <w:tabs>
                <w:tab w:val="left" w:pos="3060"/>
              </w:tabs>
              <w:spacing w:line="288" w:lineRule="auto"/>
              <w:ind w:firstLine="210" w:firstLineChars="100"/>
              <w:rPr>
                <w:rFonts w:ascii="宋体" w:hAnsi="宋体"/>
                <w:color w:val="auto"/>
                <w:sz w:val="21"/>
                <w:szCs w:val="21"/>
                <w:highlight w:val="none"/>
              </w:rPr>
            </w:pPr>
            <w:r>
              <w:rPr>
                <w:rFonts w:ascii="宋体" w:hAnsi="宋体"/>
                <w:color w:val="auto"/>
                <w:sz w:val="21"/>
                <w:szCs w:val="21"/>
                <w:highlight w:val="none"/>
              </w:rPr>
              <w:t>c.若投标保证金采用银行保函形式提交，银行保函的格式、开具保函的银行均满足招标文件要求，且在递交投标文件截止时间之前向招标人提交了银行保函原件。</w:t>
            </w:r>
          </w:p>
          <w:p w14:paraId="319CFC36">
            <w:pPr>
              <w:tabs>
                <w:tab w:val="left" w:pos="3060"/>
              </w:tabs>
              <w:spacing w:line="288"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4）投标人法定代表人的授权委托代理人签署投标文件的，需提交授权委</w:t>
            </w:r>
            <w:r>
              <w:rPr>
                <w:rFonts w:hint="eastAsia" w:ascii="宋体" w:hAnsi="宋体"/>
                <w:color w:val="auto"/>
                <w:sz w:val="21"/>
                <w:szCs w:val="21"/>
                <w:highlight w:val="none"/>
              </w:rPr>
              <w:t>托书，且符合招标文件规定。</w:t>
            </w:r>
          </w:p>
          <w:p w14:paraId="16B6AF79">
            <w:pPr>
              <w:tabs>
                <w:tab w:val="left" w:pos="3060"/>
              </w:tabs>
              <w:spacing w:line="288"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5）投标人法定代表人亲自签署投标文件的，需提交法定代表人身份证明，</w:t>
            </w:r>
          </w:p>
          <w:p w14:paraId="249013B9">
            <w:pPr>
              <w:tabs>
                <w:tab w:val="left" w:pos="3060"/>
              </w:tabs>
              <w:spacing w:line="288"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且符合招标文件规定。</w:t>
            </w:r>
          </w:p>
          <w:p w14:paraId="4A4AAEF3">
            <w:pPr>
              <w:tabs>
                <w:tab w:val="left" w:pos="3060"/>
              </w:tabs>
              <w:spacing w:line="288"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6）投标人未以联合体形式投标。</w:t>
            </w:r>
          </w:p>
          <w:p w14:paraId="7FC9E98C">
            <w:pPr>
              <w:tabs>
                <w:tab w:val="left" w:pos="3060"/>
              </w:tabs>
              <w:spacing w:line="288"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7）投标人未提交分包计划。</w:t>
            </w:r>
          </w:p>
          <w:p w14:paraId="600101B4">
            <w:pPr>
              <w:tabs>
                <w:tab w:val="left" w:pos="3060"/>
              </w:tabs>
              <w:spacing w:line="288"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8）同一投标人未提交两个以上不同的投标文件。</w:t>
            </w:r>
          </w:p>
          <w:p w14:paraId="7B977222">
            <w:pPr>
              <w:tabs>
                <w:tab w:val="left" w:pos="3060"/>
              </w:tabs>
              <w:spacing w:line="288"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9）投标文件中未出现有关投标报价的内容。</w:t>
            </w:r>
          </w:p>
          <w:p w14:paraId="357C09F8">
            <w:pPr>
              <w:tabs>
                <w:tab w:val="left" w:pos="3060"/>
              </w:tabs>
              <w:spacing w:line="288"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10）投标文件载明的招标项目完成期限未超过招标文件规定的时限。</w:t>
            </w:r>
          </w:p>
          <w:p w14:paraId="6364109A">
            <w:pPr>
              <w:tabs>
                <w:tab w:val="left" w:pos="3060"/>
              </w:tabs>
              <w:spacing w:line="288"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11）投标文件对招标文件的实质性要求和条件作出响应。</w:t>
            </w:r>
          </w:p>
          <w:p w14:paraId="2886DB49">
            <w:pPr>
              <w:tabs>
                <w:tab w:val="left" w:pos="3060"/>
              </w:tabs>
              <w:spacing w:line="288"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12）权利义务符合招标文件规定：</w:t>
            </w:r>
          </w:p>
          <w:p w14:paraId="525D30F9">
            <w:pPr>
              <w:tabs>
                <w:tab w:val="left" w:pos="3060"/>
              </w:tabs>
              <w:spacing w:line="288" w:lineRule="auto"/>
              <w:ind w:firstLine="210" w:firstLineChars="100"/>
              <w:rPr>
                <w:rFonts w:ascii="宋体" w:hAnsi="宋体"/>
                <w:color w:val="auto"/>
                <w:sz w:val="21"/>
                <w:szCs w:val="21"/>
                <w:highlight w:val="none"/>
              </w:rPr>
            </w:pPr>
            <w:r>
              <w:rPr>
                <w:rFonts w:ascii="宋体" w:hAnsi="宋体"/>
                <w:color w:val="auto"/>
                <w:sz w:val="21"/>
                <w:szCs w:val="21"/>
                <w:highlight w:val="none"/>
              </w:rPr>
              <w:t>a.投标人应接受招标文件规定的风险划分原则，未提出新的风险划分办法；</w:t>
            </w:r>
          </w:p>
          <w:p w14:paraId="58C9E4F7">
            <w:pPr>
              <w:tabs>
                <w:tab w:val="left" w:pos="3060"/>
              </w:tabs>
              <w:spacing w:line="288" w:lineRule="auto"/>
              <w:ind w:firstLine="210" w:firstLineChars="100"/>
              <w:rPr>
                <w:rFonts w:ascii="宋体" w:hAnsi="宋体"/>
                <w:color w:val="auto"/>
                <w:sz w:val="21"/>
                <w:szCs w:val="21"/>
                <w:highlight w:val="none"/>
              </w:rPr>
            </w:pPr>
            <w:r>
              <w:rPr>
                <w:rFonts w:ascii="宋体" w:hAnsi="宋体"/>
                <w:color w:val="auto"/>
                <w:sz w:val="21"/>
                <w:szCs w:val="21"/>
                <w:highlight w:val="none"/>
              </w:rPr>
              <w:t>b.投标人未增加发包人的责任范围，或减少投标人义务；</w:t>
            </w:r>
          </w:p>
          <w:p w14:paraId="55C6E398">
            <w:pPr>
              <w:tabs>
                <w:tab w:val="left" w:pos="3060"/>
              </w:tabs>
              <w:spacing w:line="288" w:lineRule="auto"/>
              <w:ind w:firstLine="210" w:firstLineChars="100"/>
              <w:rPr>
                <w:rFonts w:ascii="宋体" w:hAnsi="宋体"/>
                <w:color w:val="auto"/>
                <w:sz w:val="21"/>
                <w:szCs w:val="21"/>
                <w:highlight w:val="none"/>
              </w:rPr>
            </w:pPr>
            <w:r>
              <w:rPr>
                <w:rFonts w:ascii="宋体" w:hAnsi="宋体"/>
                <w:color w:val="auto"/>
                <w:sz w:val="21"/>
                <w:szCs w:val="21"/>
                <w:highlight w:val="none"/>
              </w:rPr>
              <w:t>c.投标人未提出不同的工程验收、计量、支付办法；</w:t>
            </w:r>
          </w:p>
          <w:p w14:paraId="117161F7">
            <w:pPr>
              <w:tabs>
                <w:tab w:val="left" w:pos="3060"/>
              </w:tabs>
              <w:spacing w:line="288" w:lineRule="auto"/>
              <w:ind w:firstLine="210" w:firstLineChars="100"/>
              <w:rPr>
                <w:rFonts w:ascii="宋体" w:hAnsi="宋体"/>
                <w:color w:val="auto"/>
                <w:sz w:val="21"/>
                <w:szCs w:val="21"/>
                <w:highlight w:val="none"/>
              </w:rPr>
            </w:pPr>
            <w:r>
              <w:rPr>
                <w:rFonts w:ascii="宋体" w:hAnsi="宋体"/>
                <w:color w:val="auto"/>
                <w:sz w:val="21"/>
                <w:szCs w:val="21"/>
                <w:highlight w:val="none"/>
              </w:rPr>
              <w:t>d.投标人对合同纠纷、事故处理办法未提出异议；</w:t>
            </w:r>
          </w:p>
          <w:p w14:paraId="6693D37F">
            <w:pPr>
              <w:tabs>
                <w:tab w:val="left" w:pos="3060"/>
              </w:tabs>
              <w:spacing w:line="288" w:lineRule="auto"/>
              <w:ind w:firstLine="210" w:firstLineChars="100"/>
              <w:rPr>
                <w:rFonts w:ascii="宋体" w:hAnsi="宋体"/>
                <w:color w:val="auto"/>
                <w:sz w:val="21"/>
                <w:szCs w:val="21"/>
                <w:highlight w:val="none"/>
              </w:rPr>
            </w:pPr>
            <w:r>
              <w:rPr>
                <w:rFonts w:ascii="宋体" w:hAnsi="宋体"/>
                <w:color w:val="auto"/>
                <w:sz w:val="21"/>
                <w:szCs w:val="21"/>
                <w:highlight w:val="none"/>
              </w:rPr>
              <w:t>e.投标人在投标活动中无欺诈行为；</w:t>
            </w:r>
          </w:p>
          <w:p w14:paraId="7DC0E43B">
            <w:pPr>
              <w:tabs>
                <w:tab w:val="left" w:pos="3060"/>
              </w:tabs>
              <w:spacing w:line="288" w:lineRule="auto"/>
              <w:ind w:firstLine="210" w:firstLineChars="100"/>
              <w:rPr>
                <w:rFonts w:ascii="宋体" w:hAnsi="宋体"/>
                <w:color w:val="auto"/>
                <w:sz w:val="21"/>
                <w:szCs w:val="21"/>
                <w:highlight w:val="none"/>
              </w:rPr>
            </w:pPr>
            <w:r>
              <w:rPr>
                <w:rFonts w:ascii="宋体" w:hAnsi="宋体"/>
                <w:color w:val="auto"/>
                <w:sz w:val="21"/>
                <w:szCs w:val="21"/>
                <w:highlight w:val="none"/>
              </w:rPr>
              <w:t>f.投标人未对合同条款有重要保留。</w:t>
            </w:r>
          </w:p>
          <w:p w14:paraId="7D837808">
            <w:pPr>
              <w:tabs>
                <w:tab w:val="left" w:pos="3060"/>
              </w:tabs>
              <w:spacing w:line="288" w:lineRule="auto"/>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第一个信封(技术文件)评审标准:</w:t>
            </w:r>
          </w:p>
          <w:p w14:paraId="2545F7AE">
            <w:pPr>
              <w:tabs>
                <w:tab w:val="left" w:pos="3060"/>
              </w:tabs>
              <w:spacing w:line="288" w:lineRule="auto"/>
              <w:ind w:firstLine="315" w:firstLineChars="150"/>
              <w:rPr>
                <w:color w:val="auto"/>
                <w:highlight w:val="none"/>
              </w:rPr>
            </w:pPr>
            <w:r>
              <w:rPr>
                <w:rFonts w:hint="eastAsia" w:ascii="宋体" w:hAnsi="宋体" w:eastAsia="宋体"/>
                <w:color w:val="auto"/>
                <w:sz w:val="21"/>
                <w:szCs w:val="21"/>
                <w:highlight w:val="none"/>
              </w:rPr>
              <w:t>(1)施工组织设计编制(</w:t>
            </w:r>
            <w:r>
              <w:rPr>
                <w:rFonts w:hint="eastAsia" w:ascii="宋体" w:hAnsi="宋体" w:eastAsia="宋体"/>
                <w:color w:val="auto"/>
                <w:sz w:val="21"/>
                <w:szCs w:val="21"/>
                <w:highlight w:val="none"/>
                <w:lang w:val="en-US" w:eastAsia="zh-CN"/>
              </w:rPr>
              <w:t>即</w:t>
            </w:r>
            <w:r>
              <w:rPr>
                <w:rFonts w:hint="eastAsia" w:ascii="宋体" w:hAnsi="宋体"/>
                <w:color w:val="auto"/>
                <w:sz w:val="21"/>
                <w:szCs w:val="21"/>
                <w:highlight w:val="none"/>
                <w:lang w:val="en-US" w:eastAsia="zh-CN"/>
              </w:rPr>
              <w:t>技术建议书</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为暗标，</w:t>
            </w:r>
            <w:r>
              <w:rPr>
                <w:rFonts w:hint="eastAsia" w:ascii="宋体" w:hAnsi="宋体" w:eastAsia="宋体"/>
                <w:color w:val="auto"/>
                <w:sz w:val="21"/>
                <w:szCs w:val="21"/>
                <w:highlight w:val="none"/>
              </w:rPr>
              <w:t>符合招标文件第二章“投标人须知”第 10.2 款的规定。</w:t>
            </w:r>
          </w:p>
          <w:p w14:paraId="6FA2F589">
            <w:pPr>
              <w:tabs>
                <w:tab w:val="left" w:pos="3060"/>
              </w:tabs>
              <w:spacing w:line="288" w:lineRule="auto"/>
              <w:rPr>
                <w:rFonts w:ascii="宋体" w:hAnsi="宋体"/>
                <w:b/>
                <w:color w:val="auto"/>
                <w:sz w:val="21"/>
                <w:szCs w:val="21"/>
                <w:highlight w:val="none"/>
              </w:rPr>
            </w:pPr>
            <w:r>
              <w:rPr>
                <w:rFonts w:hint="eastAsia" w:ascii="宋体" w:hAnsi="宋体"/>
                <w:b/>
                <w:color w:val="auto"/>
                <w:sz w:val="21"/>
                <w:szCs w:val="21"/>
                <w:highlight w:val="none"/>
              </w:rPr>
              <w:t>第二个信封（报价文件）评审标准：</w:t>
            </w:r>
          </w:p>
          <w:p w14:paraId="47CC9BF7">
            <w:pPr>
              <w:tabs>
                <w:tab w:val="left" w:pos="3060"/>
              </w:tabs>
              <w:spacing w:line="288" w:lineRule="auto"/>
              <w:ind w:firstLine="105" w:firstLineChars="50"/>
              <w:rPr>
                <w:rFonts w:ascii="宋体" w:hAnsi="宋体"/>
                <w:color w:val="auto"/>
                <w:sz w:val="21"/>
                <w:szCs w:val="21"/>
                <w:highlight w:val="none"/>
              </w:rPr>
            </w:pPr>
            <w:r>
              <w:rPr>
                <w:rFonts w:ascii="宋体" w:hAnsi="宋体"/>
                <w:color w:val="auto"/>
                <w:sz w:val="21"/>
                <w:szCs w:val="21"/>
                <w:highlight w:val="none"/>
              </w:rPr>
              <w:t>(1)投标文件按照招标文件规定的格式、内容填写，字迹清晰可辨，内容齐</w:t>
            </w:r>
            <w:r>
              <w:rPr>
                <w:rFonts w:hint="eastAsia" w:ascii="宋体" w:hAnsi="宋体"/>
                <w:color w:val="auto"/>
                <w:sz w:val="21"/>
                <w:szCs w:val="21"/>
                <w:highlight w:val="none"/>
              </w:rPr>
              <w:t>全完整：</w:t>
            </w:r>
          </w:p>
          <w:p w14:paraId="5CFB73AE">
            <w:pPr>
              <w:tabs>
                <w:tab w:val="left" w:pos="3060"/>
              </w:tabs>
              <w:spacing w:line="288" w:lineRule="auto"/>
              <w:ind w:firstLine="105" w:firstLineChars="50"/>
              <w:rPr>
                <w:rFonts w:ascii="宋体" w:hAnsi="宋体"/>
                <w:color w:val="auto"/>
                <w:sz w:val="21"/>
                <w:szCs w:val="21"/>
                <w:highlight w:val="none"/>
              </w:rPr>
            </w:pPr>
            <w:r>
              <w:rPr>
                <w:rFonts w:ascii="宋体" w:hAnsi="宋体"/>
                <w:color w:val="auto"/>
                <w:sz w:val="21"/>
                <w:szCs w:val="21"/>
                <w:highlight w:val="none"/>
              </w:rPr>
              <w:t>a．投标函按招标文件规定填报了项目名称、</w:t>
            </w:r>
            <w:r>
              <w:rPr>
                <w:rFonts w:hint="eastAsia" w:ascii="宋体" w:hAnsi="宋体"/>
                <w:color w:val="auto"/>
                <w:sz w:val="21"/>
                <w:szCs w:val="21"/>
                <w:highlight w:val="none"/>
              </w:rPr>
              <w:t>标段号（如有）、补遗书编号（如有）、投标价（包括大写金额和小写金额）；</w:t>
            </w:r>
          </w:p>
          <w:p w14:paraId="146AE3C3">
            <w:pPr>
              <w:tabs>
                <w:tab w:val="left" w:pos="3060"/>
              </w:tabs>
              <w:spacing w:line="288" w:lineRule="auto"/>
              <w:ind w:firstLine="105" w:firstLineChars="50"/>
              <w:rPr>
                <w:rFonts w:ascii="宋体" w:hAnsi="宋体"/>
                <w:color w:val="auto"/>
                <w:sz w:val="21"/>
                <w:szCs w:val="21"/>
                <w:highlight w:val="none"/>
              </w:rPr>
            </w:pPr>
            <w:r>
              <w:rPr>
                <w:rFonts w:ascii="宋体" w:hAnsi="宋体"/>
                <w:color w:val="auto"/>
                <w:sz w:val="21"/>
                <w:szCs w:val="21"/>
                <w:highlight w:val="none"/>
              </w:rPr>
              <w:t>b．已标价报价清单说明文字与招标文件规定一致，未进行实质性修改和</w:t>
            </w:r>
            <w:r>
              <w:rPr>
                <w:rFonts w:hint="eastAsia" w:ascii="宋体" w:hAnsi="宋体"/>
                <w:color w:val="auto"/>
                <w:sz w:val="21"/>
                <w:szCs w:val="21"/>
                <w:highlight w:val="none"/>
              </w:rPr>
              <w:t>删减；</w:t>
            </w:r>
          </w:p>
          <w:p w14:paraId="373CE35A">
            <w:pPr>
              <w:tabs>
                <w:tab w:val="left" w:pos="3060"/>
              </w:tabs>
              <w:spacing w:line="288" w:lineRule="auto"/>
              <w:ind w:firstLine="105" w:firstLineChars="50"/>
              <w:rPr>
                <w:rFonts w:ascii="宋体" w:hAnsi="宋体"/>
                <w:color w:val="auto"/>
                <w:sz w:val="21"/>
                <w:szCs w:val="21"/>
                <w:highlight w:val="none"/>
              </w:rPr>
            </w:pPr>
            <w:r>
              <w:rPr>
                <w:rFonts w:ascii="宋体" w:hAnsi="宋体"/>
                <w:color w:val="auto"/>
                <w:sz w:val="21"/>
                <w:szCs w:val="21"/>
                <w:highlight w:val="none"/>
              </w:rPr>
              <w:t>c．投标文件组成齐全完整，内容均按规定填写。</w:t>
            </w:r>
          </w:p>
          <w:p w14:paraId="38C079E2">
            <w:pPr>
              <w:tabs>
                <w:tab w:val="left" w:pos="3060"/>
              </w:tabs>
              <w:spacing w:line="288" w:lineRule="auto"/>
              <w:ind w:firstLine="105" w:firstLineChars="50"/>
              <w:rPr>
                <w:rFonts w:ascii="宋体" w:hAnsi="宋体"/>
                <w:color w:val="auto"/>
                <w:sz w:val="21"/>
                <w:szCs w:val="21"/>
                <w:highlight w:val="none"/>
              </w:rPr>
            </w:pPr>
            <w:r>
              <w:rPr>
                <w:rFonts w:ascii="宋体" w:hAnsi="宋体"/>
                <w:color w:val="auto"/>
                <w:sz w:val="21"/>
                <w:szCs w:val="21"/>
                <w:highlight w:val="none"/>
              </w:rPr>
              <w:t xml:space="preserve">(2) </w:t>
            </w:r>
            <w:r>
              <w:rPr>
                <w:rFonts w:hint="eastAsia" w:ascii="宋体" w:hAnsi="宋体"/>
                <w:color w:val="auto"/>
                <w:sz w:val="21"/>
                <w:szCs w:val="21"/>
                <w:highlight w:val="none"/>
              </w:rPr>
              <w:t>投标文件上法定代表人或其委托代理人签字、投标人的单位章齐全，符合招标文件规定。</w:t>
            </w:r>
          </w:p>
          <w:p w14:paraId="04C454E0">
            <w:pPr>
              <w:tabs>
                <w:tab w:val="left" w:pos="3060"/>
              </w:tabs>
              <w:spacing w:line="288" w:lineRule="auto"/>
              <w:ind w:firstLine="105" w:firstLineChars="50"/>
              <w:rPr>
                <w:rFonts w:ascii="宋体" w:hAnsi="宋体"/>
                <w:color w:val="auto"/>
                <w:sz w:val="21"/>
                <w:szCs w:val="21"/>
                <w:highlight w:val="none"/>
              </w:rPr>
            </w:pPr>
            <w:r>
              <w:rPr>
                <w:rFonts w:ascii="宋体" w:hAnsi="宋体"/>
                <w:color w:val="auto"/>
                <w:sz w:val="21"/>
                <w:szCs w:val="21"/>
                <w:highlight w:val="none"/>
              </w:rPr>
              <w:t>(3)投标报价未超过招标文件设定的最高投标限价。</w:t>
            </w:r>
          </w:p>
          <w:p w14:paraId="5EFE0BD5">
            <w:pPr>
              <w:tabs>
                <w:tab w:val="left" w:pos="3060"/>
              </w:tabs>
              <w:spacing w:line="288" w:lineRule="auto"/>
              <w:ind w:firstLine="105" w:firstLineChars="50"/>
              <w:rPr>
                <w:rFonts w:ascii="宋体" w:hAnsi="宋体"/>
                <w:color w:val="auto"/>
                <w:sz w:val="21"/>
                <w:szCs w:val="21"/>
                <w:highlight w:val="none"/>
              </w:rPr>
            </w:pPr>
            <w:r>
              <w:rPr>
                <w:rFonts w:ascii="宋体" w:hAnsi="宋体"/>
                <w:color w:val="auto"/>
                <w:sz w:val="21"/>
                <w:szCs w:val="21"/>
                <w:highlight w:val="none"/>
              </w:rPr>
              <w:t>(4)投标报价的大写金额能够确定具体数值。</w:t>
            </w:r>
          </w:p>
          <w:p w14:paraId="6FC02095">
            <w:pPr>
              <w:tabs>
                <w:tab w:val="left" w:pos="3060"/>
              </w:tabs>
              <w:spacing w:line="288" w:lineRule="auto"/>
              <w:ind w:firstLine="105" w:firstLineChars="50"/>
              <w:rPr>
                <w:rFonts w:ascii="宋体" w:hAnsi="宋体"/>
                <w:b/>
                <w:color w:val="auto"/>
                <w:sz w:val="21"/>
                <w:szCs w:val="21"/>
                <w:highlight w:val="none"/>
              </w:rPr>
            </w:pPr>
            <w:r>
              <w:rPr>
                <w:rFonts w:ascii="宋体" w:hAnsi="宋体"/>
                <w:color w:val="auto"/>
                <w:sz w:val="21"/>
                <w:szCs w:val="21"/>
                <w:highlight w:val="none"/>
              </w:rPr>
              <w:t>(5)同一投标人未提交两个以上不同的投标报价。</w:t>
            </w:r>
          </w:p>
        </w:tc>
      </w:tr>
      <w:tr w14:paraId="36CED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72" w:type="dxa"/>
            <w:vAlign w:val="center"/>
          </w:tcPr>
          <w:p w14:paraId="43ABFF30">
            <w:pPr>
              <w:spacing w:line="288" w:lineRule="auto"/>
              <w:jc w:val="center"/>
              <w:rPr>
                <w:rFonts w:ascii="宋体" w:hAnsi="宋体"/>
                <w:color w:val="auto"/>
                <w:sz w:val="21"/>
                <w:szCs w:val="21"/>
                <w:highlight w:val="none"/>
              </w:rPr>
            </w:pPr>
            <w:r>
              <w:rPr>
                <w:rFonts w:ascii="宋体" w:hAnsi="宋体"/>
                <w:color w:val="auto"/>
                <w:sz w:val="21"/>
                <w:szCs w:val="21"/>
                <w:highlight w:val="none"/>
              </w:rPr>
              <w:t>2.1.2</w:t>
            </w:r>
          </w:p>
        </w:tc>
        <w:tc>
          <w:tcPr>
            <w:tcW w:w="1277" w:type="dxa"/>
            <w:vAlign w:val="center"/>
          </w:tcPr>
          <w:p w14:paraId="1E383FAD">
            <w:pPr>
              <w:spacing w:line="288" w:lineRule="auto"/>
              <w:jc w:val="center"/>
              <w:rPr>
                <w:rFonts w:ascii="宋体" w:hAnsi="宋体"/>
                <w:color w:val="auto"/>
                <w:sz w:val="21"/>
                <w:szCs w:val="21"/>
                <w:highlight w:val="none"/>
              </w:rPr>
            </w:pPr>
            <w:r>
              <w:rPr>
                <w:rFonts w:hint="eastAsia" w:ascii="宋体" w:hAnsi="宋体"/>
                <w:color w:val="auto"/>
                <w:sz w:val="21"/>
                <w:szCs w:val="21"/>
                <w:highlight w:val="none"/>
              </w:rPr>
              <w:t>资格评审</w:t>
            </w:r>
          </w:p>
          <w:p w14:paraId="760E3CFF">
            <w:pPr>
              <w:spacing w:line="288" w:lineRule="auto"/>
              <w:jc w:val="center"/>
              <w:rPr>
                <w:rFonts w:ascii="宋体" w:hAnsi="宋体"/>
                <w:color w:val="auto"/>
                <w:sz w:val="21"/>
                <w:szCs w:val="21"/>
                <w:highlight w:val="none"/>
              </w:rPr>
            </w:pPr>
            <w:r>
              <w:rPr>
                <w:rFonts w:hint="eastAsia" w:ascii="宋体" w:hAnsi="宋体"/>
                <w:color w:val="auto"/>
                <w:sz w:val="21"/>
                <w:szCs w:val="21"/>
                <w:highlight w:val="none"/>
              </w:rPr>
              <w:t>标准</w:t>
            </w:r>
          </w:p>
        </w:tc>
        <w:tc>
          <w:tcPr>
            <w:tcW w:w="7583" w:type="dxa"/>
          </w:tcPr>
          <w:p w14:paraId="05689051">
            <w:pPr>
              <w:tabs>
                <w:tab w:val="left" w:pos="3060"/>
              </w:tabs>
              <w:spacing w:line="288" w:lineRule="auto"/>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1）投标人具备有效的营业执照、组织机构代码证（三证合一的除外）、基本账户开户许可证（或基本存款账户信息）；</w:t>
            </w:r>
          </w:p>
          <w:p w14:paraId="315A316D">
            <w:pPr>
              <w:tabs>
                <w:tab w:val="left" w:pos="3060"/>
              </w:tabs>
              <w:spacing w:line="288" w:lineRule="auto"/>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2）投标人的资质等级符合招标文件规定；</w:t>
            </w:r>
          </w:p>
          <w:p w14:paraId="752F82AB">
            <w:pPr>
              <w:tabs>
                <w:tab w:val="left" w:pos="3060"/>
              </w:tabs>
              <w:spacing w:line="288" w:lineRule="auto"/>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3）投标人的类似项目业绩符合招标文件规定；</w:t>
            </w:r>
          </w:p>
          <w:p w14:paraId="4DBF846A">
            <w:pPr>
              <w:tabs>
                <w:tab w:val="left" w:pos="3060"/>
              </w:tabs>
              <w:spacing w:line="288" w:lineRule="auto"/>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4）投标人的信誉符合招标文件规定；</w:t>
            </w:r>
          </w:p>
          <w:p w14:paraId="133B3A42">
            <w:pPr>
              <w:tabs>
                <w:tab w:val="left" w:pos="3060"/>
              </w:tabs>
              <w:spacing w:line="288" w:lineRule="auto"/>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 xml:space="preserve">5）投标人的项目负责人资格符合招标文件规定； </w:t>
            </w:r>
          </w:p>
          <w:p w14:paraId="46B84B61">
            <w:pPr>
              <w:tabs>
                <w:tab w:val="left" w:pos="3060"/>
              </w:tabs>
              <w:spacing w:line="288" w:lineRule="auto"/>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6）投标人不存在第二章“投标人须知”第1.4.3项或第1.4.4项规定的任何一种情形。</w:t>
            </w:r>
          </w:p>
          <w:p w14:paraId="47BAD5C7">
            <w:pPr>
              <w:tabs>
                <w:tab w:val="left" w:pos="3060"/>
              </w:tabs>
              <w:spacing w:line="288" w:lineRule="auto"/>
              <w:rPr>
                <w:rFonts w:ascii="宋体" w:hAnsi="宋体"/>
                <w:color w:val="auto"/>
                <w:sz w:val="21"/>
                <w:szCs w:val="21"/>
                <w:highlight w:val="none"/>
              </w:rPr>
            </w:pPr>
            <w:r>
              <w:rPr>
                <w:rFonts w:ascii="宋体" w:hAnsi="宋体"/>
                <w:color w:val="auto"/>
                <w:sz w:val="21"/>
                <w:szCs w:val="21"/>
                <w:highlight w:val="none"/>
              </w:rPr>
              <w:t>(7)投标人符合第二章“投标人须知”第1.4.5项规定。</w:t>
            </w:r>
          </w:p>
        </w:tc>
      </w:tr>
      <w:tr w14:paraId="3C845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jc w:val="center"/>
        </w:trPr>
        <w:tc>
          <w:tcPr>
            <w:tcW w:w="1072" w:type="dxa"/>
            <w:vAlign w:val="center"/>
          </w:tcPr>
          <w:p w14:paraId="7C8C1ABF">
            <w:pPr>
              <w:spacing w:line="288" w:lineRule="auto"/>
              <w:jc w:val="center"/>
              <w:rPr>
                <w:rFonts w:ascii="宋体" w:hAnsi="宋体"/>
                <w:color w:val="auto"/>
                <w:sz w:val="21"/>
                <w:szCs w:val="21"/>
                <w:highlight w:val="none"/>
              </w:rPr>
            </w:pPr>
            <w:r>
              <w:rPr>
                <w:rFonts w:ascii="宋体" w:hAnsi="宋体"/>
                <w:color w:val="auto"/>
                <w:sz w:val="21"/>
                <w:szCs w:val="21"/>
                <w:highlight w:val="none"/>
              </w:rPr>
              <w:t>2.2.1</w:t>
            </w:r>
          </w:p>
        </w:tc>
        <w:tc>
          <w:tcPr>
            <w:tcW w:w="1277" w:type="dxa"/>
            <w:vAlign w:val="center"/>
          </w:tcPr>
          <w:p w14:paraId="66449FED">
            <w:pPr>
              <w:spacing w:line="288" w:lineRule="auto"/>
              <w:jc w:val="center"/>
              <w:rPr>
                <w:rFonts w:ascii="宋体" w:hAnsi="宋体"/>
                <w:color w:val="auto"/>
                <w:sz w:val="21"/>
                <w:szCs w:val="21"/>
                <w:highlight w:val="none"/>
              </w:rPr>
            </w:pPr>
            <w:r>
              <w:rPr>
                <w:rFonts w:hint="eastAsia" w:ascii="宋体" w:hAnsi="宋体"/>
                <w:color w:val="auto"/>
                <w:sz w:val="21"/>
                <w:szCs w:val="21"/>
                <w:highlight w:val="none"/>
              </w:rPr>
              <w:t>分值构成</w:t>
            </w:r>
          </w:p>
        </w:tc>
        <w:tc>
          <w:tcPr>
            <w:tcW w:w="7583" w:type="dxa"/>
            <w:vAlign w:val="center"/>
          </w:tcPr>
          <w:p w14:paraId="6555180B">
            <w:pPr>
              <w:autoSpaceDE w:val="0"/>
              <w:autoSpaceDN w:val="0"/>
              <w:adjustRightInd w:val="0"/>
              <w:spacing w:line="288" w:lineRule="auto"/>
              <w:ind w:left="107"/>
              <w:jc w:val="left"/>
              <w:rPr>
                <w:rFonts w:ascii="宋体" w:hAnsi="宋体"/>
                <w:b/>
                <w:color w:val="auto"/>
                <w:kern w:val="0"/>
                <w:sz w:val="21"/>
                <w:szCs w:val="21"/>
                <w:highlight w:val="none"/>
              </w:rPr>
            </w:pPr>
            <w:r>
              <w:rPr>
                <w:rFonts w:hint="eastAsia" w:ascii="宋体" w:hAnsi="宋体"/>
                <w:b/>
                <w:color w:val="auto"/>
                <w:kern w:val="0"/>
                <w:sz w:val="21"/>
                <w:szCs w:val="21"/>
                <w:highlight w:val="none"/>
              </w:rPr>
              <w:t>第一信封（商务及技术文件）评分分值构成：</w:t>
            </w:r>
          </w:p>
          <w:p w14:paraId="79C18B47">
            <w:pPr>
              <w:autoSpaceDE w:val="0"/>
              <w:autoSpaceDN w:val="0"/>
              <w:adjustRightInd w:val="0"/>
              <w:spacing w:line="288" w:lineRule="auto"/>
              <w:ind w:left="107"/>
              <w:jc w:val="left"/>
              <w:rPr>
                <w:rFonts w:ascii="宋体" w:hAnsi="宋体" w:cs="宋?"/>
                <w:color w:val="auto"/>
                <w:kern w:val="0"/>
                <w:sz w:val="21"/>
                <w:szCs w:val="21"/>
                <w:highlight w:val="none"/>
              </w:rPr>
            </w:pPr>
            <w:r>
              <w:rPr>
                <w:rFonts w:hint="eastAsia" w:ascii="宋体" w:hAnsi="宋体" w:cs="宋?"/>
                <w:color w:val="auto"/>
                <w:kern w:val="0"/>
                <w:sz w:val="21"/>
                <w:szCs w:val="21"/>
                <w:highlight w:val="none"/>
              </w:rPr>
              <w:t>技术建议书：</w:t>
            </w:r>
            <w:r>
              <w:rPr>
                <w:rFonts w:hint="eastAsia" w:ascii="宋体" w:hAnsi="宋体" w:cs="宋?"/>
                <w:color w:val="auto"/>
                <w:kern w:val="0"/>
                <w:sz w:val="21"/>
                <w:szCs w:val="21"/>
                <w:highlight w:val="none"/>
                <w:lang w:val="en-US" w:eastAsia="zh-CN"/>
              </w:rPr>
              <w:t>5</w:t>
            </w:r>
            <w:r>
              <w:rPr>
                <w:rFonts w:ascii="宋体" w:hAnsi="宋体" w:cs="宋?"/>
                <w:color w:val="auto"/>
                <w:kern w:val="0"/>
                <w:sz w:val="21"/>
                <w:szCs w:val="21"/>
                <w:highlight w:val="none"/>
              </w:rPr>
              <w:t>0分</w:t>
            </w:r>
          </w:p>
          <w:p w14:paraId="57281FC5">
            <w:pPr>
              <w:autoSpaceDE w:val="0"/>
              <w:autoSpaceDN w:val="0"/>
              <w:adjustRightInd w:val="0"/>
              <w:spacing w:line="288" w:lineRule="auto"/>
              <w:ind w:left="107"/>
              <w:jc w:val="left"/>
              <w:rPr>
                <w:rFonts w:hint="eastAsia" w:ascii="宋体" w:hAnsi="宋体"/>
                <w:color w:val="auto"/>
                <w:kern w:val="0"/>
                <w:sz w:val="21"/>
                <w:szCs w:val="21"/>
                <w:highlight w:val="none"/>
              </w:rPr>
            </w:pPr>
            <w:r>
              <w:rPr>
                <w:rFonts w:hint="eastAsia" w:ascii="宋体" w:hAnsi="宋体"/>
                <w:color w:val="auto"/>
                <w:kern w:val="0"/>
                <w:sz w:val="21"/>
                <w:szCs w:val="21"/>
                <w:highlight w:val="none"/>
                <w:lang w:val="en-US" w:eastAsia="zh-CN"/>
              </w:rPr>
              <w:t>主要人员</w:t>
            </w:r>
            <w:r>
              <w:rPr>
                <w:rFonts w:hint="eastAsia" w:ascii="宋体" w:hAnsi="宋体"/>
                <w:color w:val="auto"/>
                <w:kern w:val="0"/>
                <w:sz w:val="21"/>
                <w:szCs w:val="21"/>
                <w:highlight w:val="none"/>
              </w:rPr>
              <w:t>：</w:t>
            </w:r>
            <w:r>
              <w:rPr>
                <w:rFonts w:hint="eastAsia" w:ascii="宋体" w:hAnsi="宋体"/>
                <w:color w:val="auto"/>
                <w:kern w:val="0"/>
                <w:sz w:val="21"/>
                <w:szCs w:val="21"/>
                <w:highlight w:val="none"/>
                <w:lang w:val="en-US" w:eastAsia="zh-CN"/>
              </w:rPr>
              <w:t>20</w:t>
            </w:r>
            <w:r>
              <w:rPr>
                <w:rFonts w:hint="eastAsia" w:ascii="宋体" w:hAnsi="宋体"/>
                <w:color w:val="auto"/>
                <w:kern w:val="0"/>
                <w:sz w:val="21"/>
                <w:szCs w:val="21"/>
                <w:highlight w:val="none"/>
              </w:rPr>
              <w:t>分</w:t>
            </w:r>
          </w:p>
          <w:p w14:paraId="53289EFB">
            <w:pPr>
              <w:autoSpaceDE w:val="0"/>
              <w:autoSpaceDN w:val="0"/>
              <w:adjustRightInd w:val="0"/>
              <w:spacing w:line="288" w:lineRule="auto"/>
              <w:ind w:left="107"/>
              <w:jc w:val="left"/>
              <w:rPr>
                <w:rFonts w:ascii="宋体" w:hAnsi="宋体"/>
                <w:color w:val="auto"/>
                <w:kern w:val="0"/>
                <w:sz w:val="21"/>
                <w:szCs w:val="21"/>
                <w:highlight w:val="none"/>
              </w:rPr>
            </w:pPr>
            <w:r>
              <w:rPr>
                <w:rFonts w:hint="eastAsia" w:ascii="宋体" w:hAnsi="宋体"/>
                <w:color w:val="auto"/>
                <w:kern w:val="0"/>
                <w:sz w:val="21"/>
                <w:szCs w:val="21"/>
                <w:highlight w:val="none"/>
              </w:rPr>
              <w:t>其他因素：2</w:t>
            </w:r>
            <w:r>
              <w:rPr>
                <w:rFonts w:hint="eastAsia" w:ascii="宋体" w:hAnsi="宋体"/>
                <w:color w:val="auto"/>
                <w:kern w:val="0"/>
                <w:sz w:val="21"/>
                <w:szCs w:val="21"/>
                <w:highlight w:val="none"/>
                <w:lang w:val="en-US" w:eastAsia="zh-CN"/>
              </w:rPr>
              <w:t>0</w:t>
            </w:r>
            <w:r>
              <w:rPr>
                <w:rFonts w:hint="eastAsia" w:ascii="宋体" w:hAnsi="宋体"/>
                <w:color w:val="auto"/>
                <w:kern w:val="0"/>
                <w:sz w:val="21"/>
                <w:szCs w:val="21"/>
                <w:highlight w:val="none"/>
              </w:rPr>
              <w:t>分</w:t>
            </w:r>
          </w:p>
          <w:p w14:paraId="38B827E3">
            <w:pPr>
              <w:autoSpaceDE w:val="0"/>
              <w:autoSpaceDN w:val="0"/>
              <w:adjustRightInd w:val="0"/>
              <w:spacing w:line="288" w:lineRule="auto"/>
              <w:ind w:left="107"/>
              <w:jc w:val="left"/>
              <w:rPr>
                <w:rFonts w:ascii="宋体" w:hAnsi="宋体"/>
                <w:b/>
                <w:color w:val="auto"/>
                <w:kern w:val="0"/>
                <w:sz w:val="21"/>
                <w:szCs w:val="21"/>
                <w:highlight w:val="none"/>
              </w:rPr>
            </w:pPr>
            <w:r>
              <w:rPr>
                <w:rFonts w:hint="eastAsia" w:ascii="宋体" w:hAnsi="宋体"/>
                <w:b/>
                <w:color w:val="auto"/>
                <w:kern w:val="0"/>
                <w:sz w:val="21"/>
                <w:szCs w:val="21"/>
                <w:highlight w:val="none"/>
              </w:rPr>
              <w:t>第二信封（报价文件）评分分值构成：</w:t>
            </w:r>
          </w:p>
          <w:p w14:paraId="16CC357F">
            <w:pPr>
              <w:autoSpaceDE w:val="0"/>
              <w:autoSpaceDN w:val="0"/>
              <w:adjustRightInd w:val="0"/>
              <w:spacing w:line="288" w:lineRule="auto"/>
              <w:ind w:left="107"/>
              <w:jc w:val="left"/>
              <w:rPr>
                <w:rFonts w:ascii="宋体" w:hAnsi="宋体"/>
                <w:color w:val="auto"/>
                <w:sz w:val="21"/>
                <w:szCs w:val="21"/>
                <w:highlight w:val="none"/>
              </w:rPr>
            </w:pPr>
            <w:r>
              <w:rPr>
                <w:rFonts w:hint="eastAsia" w:ascii="宋体" w:hAnsi="宋体"/>
                <w:color w:val="auto"/>
                <w:sz w:val="21"/>
                <w:szCs w:val="21"/>
                <w:highlight w:val="none"/>
              </w:rPr>
              <w:t>评标价：10分</w:t>
            </w:r>
          </w:p>
        </w:tc>
      </w:tr>
      <w:tr w14:paraId="7F405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1072" w:type="dxa"/>
            <w:vAlign w:val="center"/>
          </w:tcPr>
          <w:p w14:paraId="12317E97">
            <w:pPr>
              <w:spacing w:line="288" w:lineRule="auto"/>
              <w:ind w:right="113"/>
              <w:jc w:val="center"/>
              <w:rPr>
                <w:rFonts w:ascii="宋体" w:hAnsi="宋体"/>
                <w:color w:val="auto"/>
                <w:sz w:val="21"/>
                <w:szCs w:val="21"/>
                <w:highlight w:val="none"/>
              </w:rPr>
            </w:pPr>
            <w:r>
              <w:rPr>
                <w:rFonts w:ascii="宋体" w:hAnsi="宋体"/>
                <w:color w:val="auto"/>
                <w:sz w:val="21"/>
                <w:szCs w:val="21"/>
                <w:highlight w:val="none"/>
              </w:rPr>
              <w:t>2.2.2</w:t>
            </w:r>
          </w:p>
        </w:tc>
        <w:tc>
          <w:tcPr>
            <w:tcW w:w="1277" w:type="dxa"/>
            <w:vAlign w:val="center"/>
          </w:tcPr>
          <w:p w14:paraId="5488A049">
            <w:pPr>
              <w:spacing w:line="288" w:lineRule="auto"/>
              <w:ind w:right="113"/>
              <w:jc w:val="center"/>
              <w:rPr>
                <w:rFonts w:ascii="宋体" w:hAnsi="宋体"/>
                <w:color w:val="auto"/>
                <w:sz w:val="21"/>
                <w:szCs w:val="21"/>
                <w:highlight w:val="none"/>
              </w:rPr>
            </w:pPr>
            <w:r>
              <w:rPr>
                <w:rFonts w:hint="eastAsia" w:ascii="宋体" w:hAnsi="宋体"/>
                <w:color w:val="auto"/>
                <w:sz w:val="21"/>
                <w:szCs w:val="21"/>
                <w:highlight w:val="none"/>
              </w:rPr>
              <w:t>评标基准价计算</w:t>
            </w:r>
          </w:p>
          <w:p w14:paraId="5392211A">
            <w:pPr>
              <w:spacing w:line="288" w:lineRule="auto"/>
              <w:ind w:right="113"/>
              <w:jc w:val="center"/>
              <w:rPr>
                <w:rFonts w:ascii="宋体" w:hAnsi="宋体"/>
                <w:color w:val="auto"/>
                <w:sz w:val="21"/>
                <w:szCs w:val="21"/>
                <w:highlight w:val="none"/>
              </w:rPr>
            </w:pPr>
            <w:r>
              <w:rPr>
                <w:rFonts w:hint="eastAsia" w:ascii="宋体" w:hAnsi="宋体"/>
                <w:color w:val="auto"/>
                <w:sz w:val="21"/>
                <w:szCs w:val="21"/>
                <w:highlight w:val="none"/>
              </w:rPr>
              <w:t>方法</w:t>
            </w:r>
          </w:p>
        </w:tc>
        <w:tc>
          <w:tcPr>
            <w:tcW w:w="7583" w:type="dxa"/>
            <w:vAlign w:val="center"/>
          </w:tcPr>
          <w:p w14:paraId="216628AD">
            <w:pPr>
              <w:spacing w:line="288" w:lineRule="auto"/>
              <w:ind w:right="113"/>
              <w:rPr>
                <w:rFonts w:ascii="宋体" w:hAnsi="宋体"/>
                <w:color w:val="auto"/>
                <w:sz w:val="21"/>
                <w:szCs w:val="21"/>
                <w:highlight w:val="none"/>
              </w:rPr>
            </w:pPr>
            <w:r>
              <w:rPr>
                <w:rFonts w:hint="eastAsia" w:ascii="宋体" w:hAnsi="宋体"/>
                <w:color w:val="auto"/>
                <w:sz w:val="21"/>
                <w:szCs w:val="21"/>
                <w:highlight w:val="none"/>
              </w:rPr>
              <w:t>评标基准价的计算：</w:t>
            </w:r>
          </w:p>
          <w:p w14:paraId="1BF2DD57">
            <w:pPr>
              <w:spacing w:line="288" w:lineRule="auto"/>
              <w:ind w:left="113" w:right="113" w:firstLine="210" w:firstLineChars="100"/>
              <w:rPr>
                <w:rFonts w:ascii="宋体" w:hAnsi="宋体"/>
                <w:color w:val="auto"/>
                <w:sz w:val="21"/>
                <w:szCs w:val="21"/>
                <w:highlight w:val="none"/>
              </w:rPr>
            </w:pPr>
            <w:r>
              <w:rPr>
                <w:rFonts w:hint="eastAsia" w:ascii="宋体" w:hAnsi="宋体"/>
                <w:color w:val="auto"/>
                <w:sz w:val="21"/>
                <w:szCs w:val="21"/>
                <w:highlight w:val="none"/>
              </w:rPr>
              <w:t>所有通过第一个信封评审的投标文件，由评标委员会开启第二个信封，并当场计算并宣布评标基准价。</w:t>
            </w:r>
          </w:p>
          <w:p w14:paraId="246221A7">
            <w:pPr>
              <w:spacing w:line="288" w:lineRule="auto"/>
              <w:ind w:left="113" w:right="113" w:firstLine="210" w:firstLineChars="100"/>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1）评标价的确定：</w:t>
            </w:r>
          </w:p>
          <w:p w14:paraId="654F96FB">
            <w:pPr>
              <w:spacing w:line="288" w:lineRule="auto"/>
              <w:ind w:left="113" w:right="113" w:firstLine="210" w:firstLineChars="100"/>
              <w:rPr>
                <w:rFonts w:ascii="宋体" w:hAnsi="宋体"/>
                <w:color w:val="auto"/>
                <w:sz w:val="21"/>
                <w:szCs w:val="21"/>
                <w:highlight w:val="none"/>
              </w:rPr>
            </w:pPr>
            <w:r>
              <w:rPr>
                <w:rFonts w:hint="eastAsia" w:ascii="宋体" w:hAnsi="宋体"/>
                <w:color w:val="auto"/>
                <w:sz w:val="21"/>
                <w:szCs w:val="21"/>
                <w:highlight w:val="none"/>
              </w:rPr>
              <w:t>评标价</w:t>
            </w:r>
            <w:r>
              <w:rPr>
                <w:rFonts w:ascii="宋体" w:hAnsi="宋体"/>
                <w:color w:val="auto"/>
                <w:sz w:val="21"/>
                <w:szCs w:val="21"/>
                <w:highlight w:val="none"/>
              </w:rPr>
              <w:t>=投标函文字报价</w:t>
            </w:r>
          </w:p>
          <w:p w14:paraId="2F9B3F95">
            <w:pPr>
              <w:spacing w:line="288" w:lineRule="auto"/>
              <w:ind w:left="113" w:right="113" w:firstLine="210" w:firstLineChars="100"/>
              <w:rPr>
                <w:rFonts w:ascii="宋体" w:hAnsi="宋体"/>
                <w:color w:val="auto"/>
                <w:sz w:val="21"/>
                <w:szCs w:val="21"/>
                <w:highlight w:val="none"/>
              </w:rPr>
            </w:pPr>
            <w:r>
              <w:rPr>
                <w:rFonts w:hint="eastAsia" w:ascii="宋体" w:hAnsi="宋体"/>
                <w:color w:val="auto"/>
                <w:sz w:val="21"/>
                <w:szCs w:val="21"/>
                <w:highlight w:val="none"/>
              </w:rPr>
              <w:t>（2）评标价平均值的计算：</w:t>
            </w:r>
          </w:p>
          <w:p w14:paraId="183C111B">
            <w:pPr>
              <w:spacing w:line="288" w:lineRule="auto"/>
              <w:ind w:left="113" w:right="113" w:firstLine="210" w:firstLineChars="100"/>
              <w:rPr>
                <w:rFonts w:ascii="宋体" w:hAnsi="宋体"/>
                <w:color w:val="auto"/>
                <w:kern w:val="2"/>
                <w:sz w:val="21"/>
                <w:szCs w:val="21"/>
                <w:highlight w:val="none"/>
              </w:rPr>
            </w:pPr>
            <w:r>
              <w:rPr>
                <w:rFonts w:hint="eastAsia" w:ascii="宋体" w:hAnsi="宋体"/>
                <w:color w:val="auto"/>
                <w:kern w:val="2"/>
                <w:sz w:val="21"/>
                <w:szCs w:val="21"/>
                <w:highlight w:val="none"/>
              </w:rPr>
              <w:t>除按第二章“投标人须知”第5.2.4项规定开标现场被宣布为不进入评标基准价计算的投标报价之外的投标人评标价，所有投标人的评标价去掉n1个最高评标价和n2个最低评标价后的算术平均值即为评标价平均值：</w:t>
            </w:r>
          </w:p>
          <w:p w14:paraId="15255A98">
            <w:pPr>
              <w:spacing w:line="288" w:lineRule="auto"/>
              <w:ind w:left="113" w:right="113" w:firstLine="210" w:firstLineChars="100"/>
              <w:rPr>
                <w:rFonts w:ascii="宋体" w:hAnsi="宋体"/>
                <w:color w:val="auto"/>
                <w:kern w:val="2"/>
                <w:sz w:val="21"/>
                <w:szCs w:val="21"/>
                <w:highlight w:val="none"/>
              </w:rPr>
            </w:pPr>
            <w:r>
              <w:rPr>
                <w:rFonts w:hint="eastAsia" w:ascii="宋体" w:hAnsi="宋体"/>
                <w:color w:val="auto"/>
                <w:kern w:val="2"/>
                <w:sz w:val="21"/>
                <w:szCs w:val="21"/>
                <w:highlight w:val="none"/>
              </w:rPr>
              <w:t>如果参与评标价平均值计算的投标人数量＜</w:t>
            </w:r>
            <w:r>
              <w:rPr>
                <w:rFonts w:hint="eastAsia" w:ascii="宋体" w:hAnsi="宋体"/>
                <w:color w:val="auto"/>
                <w:kern w:val="2"/>
                <w:sz w:val="21"/>
                <w:szCs w:val="21"/>
                <w:highlight w:val="none"/>
                <w:lang w:eastAsia="zh-CN"/>
              </w:rPr>
              <w:t>5</w:t>
            </w:r>
            <w:r>
              <w:rPr>
                <w:rFonts w:hint="eastAsia" w:ascii="宋体" w:hAnsi="宋体"/>
                <w:color w:val="auto"/>
                <w:kern w:val="2"/>
                <w:sz w:val="21"/>
                <w:szCs w:val="21"/>
                <w:highlight w:val="none"/>
              </w:rPr>
              <w:t>家时，n1=0，n2=0；</w:t>
            </w:r>
          </w:p>
          <w:p w14:paraId="2D7B9DEB">
            <w:pPr>
              <w:spacing w:line="288" w:lineRule="auto"/>
              <w:ind w:left="113" w:right="113" w:firstLine="210" w:firstLineChars="100"/>
              <w:rPr>
                <w:rFonts w:ascii="宋体" w:hAnsi="宋体"/>
                <w:color w:val="auto"/>
                <w:kern w:val="2"/>
                <w:sz w:val="21"/>
                <w:szCs w:val="21"/>
                <w:highlight w:val="none"/>
              </w:rPr>
            </w:pPr>
            <w:r>
              <w:rPr>
                <w:rFonts w:hint="eastAsia" w:ascii="宋体" w:hAnsi="宋体"/>
                <w:color w:val="auto"/>
                <w:kern w:val="2"/>
                <w:sz w:val="21"/>
                <w:szCs w:val="21"/>
                <w:highlight w:val="none"/>
                <w:lang w:eastAsia="zh-CN"/>
              </w:rPr>
              <w:t>5</w:t>
            </w:r>
            <w:r>
              <w:rPr>
                <w:rFonts w:hint="eastAsia" w:ascii="宋体" w:hAnsi="宋体"/>
                <w:color w:val="auto"/>
                <w:kern w:val="2"/>
                <w:sz w:val="21"/>
                <w:szCs w:val="21"/>
                <w:highlight w:val="none"/>
              </w:rPr>
              <w:t>家≤参与评标价平均值计算的投标人数量＜</w:t>
            </w:r>
            <w:r>
              <w:rPr>
                <w:rFonts w:hint="eastAsia" w:ascii="宋体" w:hAnsi="宋体"/>
                <w:color w:val="auto"/>
                <w:kern w:val="2"/>
                <w:sz w:val="21"/>
                <w:szCs w:val="21"/>
                <w:highlight w:val="none"/>
                <w:lang w:eastAsia="zh-CN"/>
              </w:rPr>
              <w:t>7</w:t>
            </w:r>
            <w:r>
              <w:rPr>
                <w:rFonts w:hint="eastAsia" w:ascii="宋体" w:hAnsi="宋体"/>
                <w:color w:val="auto"/>
                <w:kern w:val="2"/>
                <w:sz w:val="21"/>
                <w:szCs w:val="21"/>
                <w:highlight w:val="none"/>
              </w:rPr>
              <w:t>家时，n1=1，n2=1；</w:t>
            </w:r>
          </w:p>
          <w:p w14:paraId="24254D18">
            <w:pPr>
              <w:spacing w:line="288" w:lineRule="auto"/>
              <w:ind w:left="113" w:right="113" w:firstLine="210" w:firstLineChars="100"/>
              <w:rPr>
                <w:rFonts w:hint="eastAsia" w:ascii="宋体" w:hAnsi="宋体"/>
                <w:color w:val="auto"/>
                <w:kern w:val="2"/>
                <w:sz w:val="21"/>
                <w:szCs w:val="21"/>
                <w:highlight w:val="none"/>
              </w:rPr>
            </w:pPr>
            <w:r>
              <w:rPr>
                <w:rFonts w:hint="eastAsia" w:ascii="宋体" w:hAnsi="宋体"/>
                <w:color w:val="auto"/>
                <w:kern w:val="2"/>
                <w:sz w:val="21"/>
                <w:szCs w:val="21"/>
                <w:highlight w:val="none"/>
                <w:lang w:val="en-US" w:eastAsia="zh-CN"/>
              </w:rPr>
              <w:t>7</w:t>
            </w:r>
            <w:r>
              <w:rPr>
                <w:rFonts w:hint="eastAsia" w:ascii="宋体" w:hAnsi="宋体"/>
                <w:color w:val="auto"/>
                <w:kern w:val="2"/>
                <w:sz w:val="21"/>
                <w:szCs w:val="21"/>
                <w:highlight w:val="none"/>
              </w:rPr>
              <w:t>家≤参与评标价平均值计算的投标人数量＜</w:t>
            </w:r>
            <w:r>
              <w:rPr>
                <w:rFonts w:hint="eastAsia" w:ascii="宋体" w:hAnsi="宋体"/>
                <w:color w:val="auto"/>
                <w:kern w:val="2"/>
                <w:sz w:val="21"/>
                <w:szCs w:val="21"/>
                <w:highlight w:val="none"/>
                <w:lang w:val="en-US" w:eastAsia="zh-CN"/>
              </w:rPr>
              <w:t>9</w:t>
            </w:r>
            <w:r>
              <w:rPr>
                <w:rFonts w:hint="eastAsia" w:ascii="宋体" w:hAnsi="宋体"/>
                <w:color w:val="auto"/>
                <w:kern w:val="2"/>
                <w:sz w:val="21"/>
                <w:szCs w:val="21"/>
                <w:highlight w:val="none"/>
              </w:rPr>
              <w:t>家时，n1=</w:t>
            </w:r>
            <w:r>
              <w:rPr>
                <w:rFonts w:hint="eastAsia" w:ascii="宋体" w:hAnsi="宋体"/>
                <w:color w:val="auto"/>
                <w:kern w:val="2"/>
                <w:sz w:val="21"/>
                <w:szCs w:val="21"/>
                <w:highlight w:val="none"/>
                <w:lang w:val="en-US" w:eastAsia="zh-CN"/>
              </w:rPr>
              <w:t>2</w:t>
            </w:r>
            <w:r>
              <w:rPr>
                <w:rFonts w:hint="eastAsia" w:ascii="宋体" w:hAnsi="宋体"/>
                <w:color w:val="auto"/>
                <w:kern w:val="2"/>
                <w:sz w:val="21"/>
                <w:szCs w:val="21"/>
                <w:highlight w:val="none"/>
              </w:rPr>
              <w:t>，n2=</w:t>
            </w:r>
            <w:r>
              <w:rPr>
                <w:rFonts w:hint="eastAsia" w:ascii="宋体" w:hAnsi="宋体"/>
                <w:color w:val="auto"/>
                <w:kern w:val="2"/>
                <w:sz w:val="21"/>
                <w:szCs w:val="21"/>
                <w:highlight w:val="none"/>
                <w:lang w:val="en-US" w:eastAsia="zh-CN"/>
              </w:rPr>
              <w:t>2</w:t>
            </w:r>
            <w:r>
              <w:rPr>
                <w:rFonts w:hint="eastAsia" w:ascii="宋体" w:hAnsi="宋体"/>
                <w:color w:val="auto"/>
                <w:kern w:val="2"/>
                <w:sz w:val="21"/>
                <w:szCs w:val="21"/>
                <w:highlight w:val="none"/>
              </w:rPr>
              <w:t>；</w:t>
            </w:r>
          </w:p>
          <w:p w14:paraId="68474137">
            <w:pPr>
              <w:spacing w:line="288" w:lineRule="auto"/>
              <w:ind w:left="113" w:right="113" w:firstLine="210" w:firstLineChars="100"/>
              <w:rPr>
                <w:rFonts w:ascii="宋体" w:hAnsi="宋体"/>
                <w:color w:val="auto"/>
                <w:kern w:val="2"/>
                <w:sz w:val="21"/>
                <w:szCs w:val="21"/>
                <w:highlight w:val="none"/>
              </w:rPr>
            </w:pPr>
            <w:r>
              <w:rPr>
                <w:rFonts w:hint="eastAsia" w:ascii="宋体" w:hAnsi="宋体"/>
                <w:color w:val="auto"/>
                <w:kern w:val="2"/>
                <w:sz w:val="21"/>
                <w:szCs w:val="21"/>
                <w:highlight w:val="none"/>
              </w:rPr>
              <w:t>参与评标价平均值计算的投标人数量≥</w:t>
            </w:r>
            <w:r>
              <w:rPr>
                <w:rFonts w:hint="eastAsia" w:ascii="宋体" w:hAnsi="宋体"/>
                <w:color w:val="auto"/>
                <w:kern w:val="2"/>
                <w:sz w:val="21"/>
                <w:szCs w:val="21"/>
                <w:highlight w:val="none"/>
                <w:lang w:eastAsia="zh-CN"/>
              </w:rPr>
              <w:t>9</w:t>
            </w:r>
            <w:r>
              <w:rPr>
                <w:rFonts w:hint="eastAsia" w:ascii="宋体" w:hAnsi="宋体"/>
                <w:color w:val="auto"/>
                <w:kern w:val="2"/>
                <w:sz w:val="21"/>
                <w:szCs w:val="21"/>
                <w:highlight w:val="none"/>
              </w:rPr>
              <w:t>家时，n1=</w:t>
            </w:r>
            <w:r>
              <w:rPr>
                <w:rFonts w:hint="eastAsia" w:ascii="宋体" w:hAnsi="宋体"/>
                <w:color w:val="auto"/>
                <w:kern w:val="2"/>
                <w:sz w:val="21"/>
                <w:szCs w:val="21"/>
                <w:highlight w:val="none"/>
                <w:lang w:eastAsia="zh-CN"/>
              </w:rPr>
              <w:t>3</w:t>
            </w:r>
            <w:r>
              <w:rPr>
                <w:rFonts w:hint="eastAsia" w:ascii="宋体" w:hAnsi="宋体"/>
                <w:color w:val="auto"/>
                <w:kern w:val="2"/>
                <w:sz w:val="21"/>
                <w:szCs w:val="21"/>
                <w:highlight w:val="none"/>
              </w:rPr>
              <w:t>，n2=</w:t>
            </w:r>
            <w:r>
              <w:rPr>
                <w:rFonts w:hint="eastAsia" w:ascii="宋体" w:hAnsi="宋体"/>
                <w:color w:val="auto"/>
                <w:kern w:val="2"/>
                <w:sz w:val="21"/>
                <w:szCs w:val="21"/>
                <w:highlight w:val="none"/>
                <w:lang w:eastAsia="zh-CN"/>
              </w:rPr>
              <w:t>3</w:t>
            </w:r>
            <w:r>
              <w:rPr>
                <w:rFonts w:hint="eastAsia" w:ascii="宋体" w:hAnsi="宋体"/>
                <w:color w:val="auto"/>
                <w:kern w:val="2"/>
                <w:sz w:val="21"/>
                <w:szCs w:val="21"/>
                <w:highlight w:val="none"/>
              </w:rPr>
              <w:t>；</w:t>
            </w:r>
          </w:p>
          <w:p w14:paraId="185E41A3">
            <w:pPr>
              <w:spacing w:line="288" w:lineRule="auto"/>
              <w:ind w:left="113" w:right="113" w:firstLine="210" w:firstLineChars="100"/>
              <w:rPr>
                <w:rFonts w:ascii="宋体" w:hAnsi="宋体"/>
                <w:color w:val="auto"/>
                <w:kern w:val="2"/>
                <w:sz w:val="21"/>
                <w:szCs w:val="21"/>
                <w:highlight w:val="none"/>
              </w:rPr>
            </w:pPr>
            <w:r>
              <w:rPr>
                <w:rFonts w:hint="eastAsia" w:ascii="宋体" w:hAnsi="宋体"/>
                <w:color w:val="auto"/>
                <w:kern w:val="2"/>
                <w:sz w:val="21"/>
                <w:szCs w:val="21"/>
                <w:highlight w:val="none"/>
              </w:rPr>
              <w:t>（3）评标基准价的确定：评标价平均值直接作为评标基准价。</w:t>
            </w:r>
          </w:p>
          <w:p w14:paraId="5461CAA3">
            <w:pPr>
              <w:spacing w:line="288" w:lineRule="auto"/>
              <w:ind w:left="113" w:right="113" w:firstLine="210" w:firstLineChars="100"/>
              <w:rPr>
                <w:rFonts w:ascii="宋体" w:hAnsi="宋体"/>
                <w:color w:val="auto"/>
                <w:kern w:val="2"/>
                <w:sz w:val="21"/>
                <w:szCs w:val="21"/>
                <w:highlight w:val="none"/>
              </w:rPr>
            </w:pPr>
            <w:r>
              <w:rPr>
                <w:rFonts w:hint="eastAsia" w:ascii="宋体" w:hAnsi="宋体"/>
                <w:color w:val="auto"/>
                <w:kern w:val="2"/>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p w14:paraId="72960BDE">
            <w:pPr>
              <w:spacing w:line="288" w:lineRule="auto"/>
              <w:ind w:left="113" w:right="113" w:firstLine="210" w:firstLineChars="100"/>
              <w:rPr>
                <w:rFonts w:ascii="宋体" w:hAnsi="宋体"/>
                <w:color w:val="auto"/>
                <w:sz w:val="21"/>
                <w:szCs w:val="21"/>
                <w:highlight w:val="none"/>
              </w:rPr>
            </w:pPr>
            <w:r>
              <w:rPr>
                <w:rFonts w:hint="eastAsia" w:ascii="宋体" w:hAnsi="宋体"/>
                <w:color w:val="auto"/>
                <w:kern w:val="2"/>
                <w:sz w:val="21"/>
                <w:szCs w:val="21"/>
                <w:highlight w:val="none"/>
              </w:rPr>
              <w:t>评标价平均值、评标基准价保留小数点后两位，小数点后第三位四舍五入。</w:t>
            </w:r>
          </w:p>
        </w:tc>
      </w:tr>
      <w:tr w14:paraId="38542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072" w:type="dxa"/>
            <w:vAlign w:val="center"/>
          </w:tcPr>
          <w:p w14:paraId="3DBC05AB">
            <w:pPr>
              <w:spacing w:line="288" w:lineRule="auto"/>
              <w:ind w:right="113"/>
              <w:jc w:val="center"/>
              <w:rPr>
                <w:rFonts w:ascii="宋体" w:hAnsi="宋体"/>
                <w:color w:val="auto"/>
                <w:sz w:val="21"/>
                <w:szCs w:val="21"/>
                <w:highlight w:val="none"/>
              </w:rPr>
            </w:pPr>
            <w:r>
              <w:rPr>
                <w:rFonts w:ascii="宋体" w:hAnsi="宋体"/>
                <w:color w:val="auto"/>
                <w:sz w:val="21"/>
                <w:szCs w:val="21"/>
                <w:highlight w:val="none"/>
              </w:rPr>
              <w:t>2.2.3</w:t>
            </w:r>
          </w:p>
        </w:tc>
        <w:tc>
          <w:tcPr>
            <w:tcW w:w="1277" w:type="dxa"/>
            <w:vAlign w:val="center"/>
          </w:tcPr>
          <w:p w14:paraId="7504EADB">
            <w:pPr>
              <w:spacing w:line="288" w:lineRule="auto"/>
              <w:ind w:left="113" w:right="113"/>
              <w:jc w:val="center"/>
              <w:rPr>
                <w:rFonts w:hint="eastAsia" w:ascii="宋体" w:hAnsi="宋体"/>
                <w:color w:val="auto"/>
                <w:spacing w:val="-6"/>
                <w:sz w:val="21"/>
                <w:szCs w:val="21"/>
                <w:highlight w:val="none"/>
              </w:rPr>
            </w:pPr>
            <w:r>
              <w:rPr>
                <w:rFonts w:hint="eastAsia" w:ascii="宋体" w:hAnsi="宋体"/>
                <w:color w:val="auto"/>
                <w:spacing w:val="-6"/>
                <w:sz w:val="21"/>
                <w:szCs w:val="21"/>
                <w:highlight w:val="none"/>
              </w:rPr>
              <w:t>评标价的</w:t>
            </w:r>
            <w:r>
              <w:rPr>
                <w:rFonts w:hint="eastAsia" w:ascii="宋体" w:hAnsi="宋体"/>
                <w:color w:val="auto"/>
                <w:sz w:val="21"/>
                <w:szCs w:val="21"/>
                <w:highlight w:val="none"/>
              </w:rPr>
              <w:t>偏离</w:t>
            </w:r>
            <w:r>
              <w:rPr>
                <w:rFonts w:hint="eastAsia" w:ascii="宋体" w:hAnsi="宋体"/>
                <w:color w:val="auto"/>
                <w:spacing w:val="-6"/>
                <w:sz w:val="21"/>
                <w:szCs w:val="21"/>
                <w:highlight w:val="none"/>
              </w:rPr>
              <w:t>率</w:t>
            </w:r>
          </w:p>
          <w:p w14:paraId="113F1A91">
            <w:pPr>
              <w:spacing w:line="288" w:lineRule="auto"/>
              <w:ind w:left="113" w:right="113"/>
              <w:jc w:val="center"/>
              <w:rPr>
                <w:rFonts w:ascii="宋体" w:hAnsi="宋体"/>
                <w:color w:val="auto"/>
                <w:sz w:val="21"/>
                <w:szCs w:val="21"/>
                <w:highlight w:val="none"/>
              </w:rPr>
            </w:pPr>
            <w:r>
              <w:rPr>
                <w:rFonts w:hint="eastAsia" w:ascii="宋体" w:hAnsi="宋体"/>
                <w:color w:val="auto"/>
                <w:spacing w:val="-6"/>
                <w:sz w:val="21"/>
                <w:szCs w:val="21"/>
                <w:highlight w:val="none"/>
              </w:rPr>
              <w:t>计算公式</w:t>
            </w:r>
          </w:p>
        </w:tc>
        <w:tc>
          <w:tcPr>
            <w:tcW w:w="7583" w:type="dxa"/>
            <w:vAlign w:val="center"/>
          </w:tcPr>
          <w:p w14:paraId="0B59C0BD">
            <w:pPr>
              <w:spacing w:line="288" w:lineRule="auto"/>
              <w:ind w:left="113" w:right="113" w:firstLine="210" w:firstLineChars="100"/>
              <w:rPr>
                <w:rFonts w:ascii="宋体" w:hAnsi="宋体"/>
                <w:color w:val="auto"/>
                <w:sz w:val="21"/>
                <w:szCs w:val="21"/>
                <w:highlight w:val="none"/>
              </w:rPr>
            </w:pPr>
            <w:r>
              <w:rPr>
                <w:rFonts w:hint="eastAsia" w:ascii="宋体" w:hAnsi="宋体"/>
                <w:color w:val="auto"/>
                <w:sz w:val="21"/>
                <w:szCs w:val="21"/>
                <w:highlight w:val="none"/>
              </w:rPr>
              <w:t>偏离率</w:t>
            </w:r>
            <w:r>
              <w:rPr>
                <w:rFonts w:ascii="宋体" w:hAnsi="宋体"/>
                <w:color w:val="auto"/>
                <w:sz w:val="21"/>
                <w:szCs w:val="21"/>
                <w:highlight w:val="none"/>
              </w:rPr>
              <w:t>=100%×（投标人评标价-评标基准价）/评标基准价</w:t>
            </w:r>
          </w:p>
          <w:p w14:paraId="76558E5F">
            <w:pPr>
              <w:spacing w:line="288" w:lineRule="auto"/>
              <w:ind w:left="113" w:right="113" w:firstLine="210" w:firstLineChars="100"/>
              <w:rPr>
                <w:rFonts w:ascii="宋体" w:hAnsi="宋体"/>
                <w:color w:val="auto"/>
                <w:sz w:val="21"/>
                <w:szCs w:val="21"/>
                <w:highlight w:val="none"/>
              </w:rPr>
            </w:pPr>
            <w:r>
              <w:rPr>
                <w:rFonts w:hint="eastAsia" w:ascii="宋体" w:hAnsi="宋体"/>
                <w:color w:val="auto"/>
                <w:sz w:val="21"/>
                <w:szCs w:val="21"/>
                <w:highlight w:val="none"/>
              </w:rPr>
              <w:t>偏离率保留</w:t>
            </w:r>
            <w:r>
              <w:rPr>
                <w:rFonts w:ascii="宋体" w:hAnsi="宋体"/>
                <w:color w:val="auto"/>
                <w:sz w:val="21"/>
                <w:szCs w:val="21"/>
                <w:highlight w:val="none"/>
                <w:u w:val="single"/>
              </w:rPr>
              <w:t>2</w:t>
            </w:r>
            <w:r>
              <w:rPr>
                <w:rFonts w:hint="eastAsia" w:ascii="宋体" w:hAnsi="宋体"/>
                <w:color w:val="auto"/>
                <w:sz w:val="21"/>
                <w:szCs w:val="21"/>
                <w:highlight w:val="none"/>
              </w:rPr>
              <w:t>位小数</w:t>
            </w:r>
          </w:p>
        </w:tc>
      </w:tr>
      <w:tr w14:paraId="63EBE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072" w:type="dxa"/>
            <w:vAlign w:val="center"/>
          </w:tcPr>
          <w:p w14:paraId="6DB227F3">
            <w:pPr>
              <w:spacing w:line="288" w:lineRule="auto"/>
              <w:ind w:left="113" w:right="113"/>
              <w:rPr>
                <w:rFonts w:ascii="宋体" w:hAnsi="宋体"/>
                <w:color w:val="auto"/>
                <w:sz w:val="21"/>
                <w:szCs w:val="21"/>
                <w:highlight w:val="none"/>
              </w:rPr>
            </w:pPr>
            <w:r>
              <w:rPr>
                <w:rFonts w:ascii="宋体" w:hAnsi="宋体"/>
                <w:color w:val="auto"/>
                <w:sz w:val="21"/>
                <w:szCs w:val="21"/>
                <w:highlight w:val="none"/>
              </w:rPr>
              <w:t>3.6.1</w:t>
            </w:r>
          </w:p>
        </w:tc>
        <w:tc>
          <w:tcPr>
            <w:tcW w:w="1277" w:type="dxa"/>
            <w:vAlign w:val="center"/>
          </w:tcPr>
          <w:p w14:paraId="350B7661">
            <w:pPr>
              <w:spacing w:line="288" w:lineRule="auto"/>
              <w:ind w:right="113"/>
              <w:jc w:val="center"/>
              <w:rPr>
                <w:rFonts w:ascii="宋体" w:hAnsi="宋体"/>
                <w:color w:val="auto"/>
                <w:sz w:val="21"/>
                <w:szCs w:val="21"/>
                <w:highlight w:val="none"/>
              </w:rPr>
            </w:pPr>
            <w:r>
              <w:rPr>
                <w:rFonts w:hint="eastAsia" w:ascii="宋体" w:hAnsi="宋体"/>
                <w:color w:val="auto"/>
                <w:sz w:val="21"/>
                <w:szCs w:val="21"/>
                <w:highlight w:val="none"/>
              </w:rPr>
              <w:t>投标文件相关信息核查</w:t>
            </w:r>
          </w:p>
        </w:tc>
        <w:tc>
          <w:tcPr>
            <w:tcW w:w="7583" w:type="dxa"/>
            <w:vAlign w:val="center"/>
          </w:tcPr>
          <w:p w14:paraId="7D95BABE">
            <w:pPr>
              <w:spacing w:line="288" w:lineRule="auto"/>
              <w:ind w:left="113" w:right="113"/>
              <w:rPr>
                <w:rFonts w:ascii="宋体" w:hAnsi="宋体"/>
                <w:color w:val="auto"/>
                <w:sz w:val="21"/>
                <w:szCs w:val="21"/>
                <w:highlight w:val="none"/>
              </w:rPr>
            </w:pPr>
            <w:r>
              <w:rPr>
                <w:rFonts w:hint="eastAsia" w:ascii="宋体" w:hAnsi="宋体"/>
                <w:color w:val="auto"/>
                <w:sz w:val="21"/>
                <w:szCs w:val="21"/>
                <w:highlight w:val="none"/>
              </w:rPr>
              <w:t>在评标过程中，评标委员会应对以下信息进行查询：</w:t>
            </w:r>
          </w:p>
          <w:p w14:paraId="186F63F8">
            <w:pPr>
              <w:spacing w:line="288" w:lineRule="auto"/>
              <w:ind w:left="113" w:right="113"/>
              <w:rPr>
                <w:rFonts w:ascii="宋体" w:hAnsi="宋体"/>
                <w:color w:val="auto"/>
                <w:sz w:val="21"/>
                <w:szCs w:val="21"/>
                <w:highlight w:val="none"/>
              </w:rPr>
            </w:pPr>
            <w:r>
              <w:rPr>
                <w:rFonts w:hint="eastAsia" w:ascii="宋体" w:hAnsi="宋体"/>
                <w:color w:val="auto"/>
                <w:sz w:val="21"/>
                <w:szCs w:val="21"/>
                <w:highlight w:val="none"/>
              </w:rPr>
              <w:t>（1）投标人信用情况网页截图内容与在“国家企业信用信息公示系统”</w:t>
            </w:r>
            <w:r>
              <w:rPr>
                <w:rFonts w:ascii="宋体" w:hAnsi="宋体"/>
                <w:color w:val="auto"/>
                <w:sz w:val="21"/>
                <w:szCs w:val="21"/>
                <w:highlight w:val="none"/>
              </w:rPr>
              <w:t xml:space="preserve"> </w:t>
            </w:r>
            <w:r>
              <w:rPr>
                <w:rFonts w:hint="eastAsia" w:ascii="宋体" w:hAnsi="宋体"/>
                <w:color w:val="auto"/>
                <w:sz w:val="21"/>
                <w:szCs w:val="21"/>
                <w:highlight w:val="none"/>
              </w:rPr>
              <w:t>中严重违法失信企业名单（均不含分公司）或在“信用中国”网站“中失信被执行人名单、企业经营异常情况名录、税收违法黑名单、政府采购严重违法失信名单（均不含分公司）的复核结果一致。</w:t>
            </w:r>
          </w:p>
          <w:p w14:paraId="3F0791D0">
            <w:pPr>
              <w:spacing w:line="288" w:lineRule="auto"/>
              <w:ind w:left="113" w:right="113"/>
              <w:rPr>
                <w:rFonts w:ascii="宋体" w:hAnsi="宋体"/>
                <w:color w:val="auto"/>
                <w:sz w:val="21"/>
                <w:szCs w:val="21"/>
                <w:highlight w:val="none"/>
              </w:rPr>
            </w:pPr>
            <w:r>
              <w:rPr>
                <w:rFonts w:hint="eastAsia" w:ascii="宋体" w:hAnsi="宋体"/>
                <w:color w:val="auto"/>
                <w:sz w:val="21"/>
                <w:szCs w:val="21"/>
                <w:highlight w:val="none"/>
              </w:rPr>
              <w:t>前述项如投标人未提供相关网页截图或所附截图与复核结果不一致，评标委员会应否决其投标。</w:t>
            </w:r>
          </w:p>
          <w:p w14:paraId="2AB3CCB3">
            <w:pPr>
              <w:spacing w:line="288" w:lineRule="auto"/>
              <w:ind w:left="113" w:right="113"/>
              <w:rPr>
                <w:rFonts w:ascii="宋体" w:hAnsi="宋体"/>
                <w:color w:val="auto"/>
                <w:sz w:val="21"/>
                <w:szCs w:val="21"/>
                <w:highlight w:val="none"/>
              </w:rPr>
            </w:pPr>
            <w:r>
              <w:rPr>
                <w:rFonts w:hint="eastAsia" w:ascii="宋体" w:hAnsi="宋体"/>
                <w:color w:val="auto"/>
                <w:sz w:val="21"/>
                <w:szCs w:val="21"/>
                <w:highlight w: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为，按相关规定处理。</w:t>
            </w:r>
          </w:p>
        </w:tc>
      </w:tr>
    </w:tbl>
    <w:p w14:paraId="19A27653">
      <w:pPr>
        <w:spacing w:line="288" w:lineRule="auto"/>
        <w:rPr>
          <w:rFonts w:ascii="宋体" w:hAnsi="宋体"/>
          <w:color w:val="auto"/>
          <w:szCs w:val="21"/>
          <w:highlight w:val="none"/>
        </w:rPr>
      </w:pPr>
    </w:p>
    <w:p w14:paraId="4204D431">
      <w:pPr>
        <w:pStyle w:val="4"/>
        <w:rPr>
          <w:rFonts w:ascii="宋体" w:hAnsi="宋体"/>
          <w:color w:val="auto"/>
          <w:szCs w:val="21"/>
          <w:highlight w:val="none"/>
        </w:rPr>
      </w:pPr>
    </w:p>
    <w:p w14:paraId="4C86E506">
      <w:pPr>
        <w:rPr>
          <w:rFonts w:ascii="宋体" w:hAnsi="宋体"/>
          <w:color w:val="auto"/>
          <w:szCs w:val="21"/>
          <w:highlight w:val="none"/>
        </w:rPr>
      </w:pPr>
    </w:p>
    <w:p w14:paraId="1D3D9E0D">
      <w:pPr>
        <w:pStyle w:val="4"/>
        <w:rPr>
          <w:rFonts w:ascii="宋体" w:hAnsi="宋体"/>
          <w:color w:val="auto"/>
          <w:szCs w:val="21"/>
          <w:highlight w:val="none"/>
        </w:rPr>
      </w:pPr>
    </w:p>
    <w:p w14:paraId="74B41D3C">
      <w:pPr>
        <w:rPr>
          <w:rFonts w:ascii="宋体" w:hAnsi="宋体"/>
          <w:color w:val="auto"/>
          <w:szCs w:val="21"/>
          <w:highlight w:val="none"/>
        </w:rPr>
      </w:pPr>
    </w:p>
    <w:p w14:paraId="007C635D">
      <w:pPr>
        <w:pStyle w:val="4"/>
        <w:rPr>
          <w:rFonts w:ascii="宋体" w:hAnsi="宋体"/>
          <w:color w:val="auto"/>
          <w:szCs w:val="21"/>
          <w:highlight w:val="none"/>
        </w:rPr>
      </w:pPr>
    </w:p>
    <w:p w14:paraId="5ECD4B14">
      <w:pPr>
        <w:rPr>
          <w:rFonts w:ascii="宋体" w:hAnsi="宋体"/>
          <w:color w:val="auto"/>
          <w:szCs w:val="21"/>
          <w:highlight w:val="none"/>
        </w:rPr>
      </w:pPr>
    </w:p>
    <w:p w14:paraId="6BD47F15">
      <w:pPr>
        <w:pStyle w:val="4"/>
        <w:rPr>
          <w:rFonts w:ascii="宋体" w:hAnsi="宋体"/>
          <w:color w:val="auto"/>
          <w:szCs w:val="21"/>
          <w:highlight w:val="none"/>
        </w:rPr>
      </w:pPr>
    </w:p>
    <w:p w14:paraId="156B0622">
      <w:pPr>
        <w:rPr>
          <w:rFonts w:ascii="宋体" w:hAnsi="宋体"/>
          <w:color w:val="auto"/>
          <w:szCs w:val="21"/>
          <w:highlight w:val="none"/>
        </w:rPr>
      </w:pPr>
    </w:p>
    <w:p w14:paraId="478B5B97">
      <w:pPr>
        <w:pStyle w:val="4"/>
        <w:rPr>
          <w:rFonts w:ascii="宋体" w:hAnsi="宋体"/>
          <w:color w:val="auto"/>
          <w:szCs w:val="21"/>
          <w:highlight w:val="none"/>
        </w:rPr>
      </w:pPr>
    </w:p>
    <w:p w14:paraId="768C4B09">
      <w:pPr>
        <w:rPr>
          <w:rFonts w:ascii="宋体" w:hAnsi="宋体"/>
          <w:color w:val="auto"/>
          <w:szCs w:val="21"/>
          <w:highlight w:val="none"/>
        </w:rPr>
      </w:pPr>
    </w:p>
    <w:p w14:paraId="3445A012">
      <w:pPr>
        <w:pStyle w:val="4"/>
        <w:rPr>
          <w:rFonts w:ascii="宋体" w:hAnsi="宋体"/>
          <w:color w:val="auto"/>
          <w:szCs w:val="21"/>
          <w:highlight w:val="none"/>
        </w:rPr>
      </w:pPr>
    </w:p>
    <w:p w14:paraId="491395AF">
      <w:pPr>
        <w:rPr>
          <w:rFonts w:ascii="宋体" w:hAnsi="宋体"/>
          <w:color w:val="auto"/>
          <w:szCs w:val="21"/>
          <w:highlight w:val="none"/>
        </w:rPr>
      </w:pPr>
    </w:p>
    <w:p w14:paraId="5DAB5F15">
      <w:pPr>
        <w:pStyle w:val="4"/>
        <w:rPr>
          <w:rFonts w:ascii="宋体" w:hAnsi="宋体"/>
          <w:color w:val="auto"/>
          <w:szCs w:val="21"/>
          <w:highlight w:val="none"/>
        </w:rPr>
      </w:pPr>
    </w:p>
    <w:p w14:paraId="0548D763">
      <w:pPr>
        <w:rPr>
          <w:rFonts w:ascii="宋体" w:hAnsi="宋体"/>
          <w:color w:val="auto"/>
          <w:szCs w:val="21"/>
          <w:highlight w:val="none"/>
        </w:rPr>
      </w:pPr>
    </w:p>
    <w:p w14:paraId="5EC0C28F">
      <w:pPr>
        <w:pStyle w:val="4"/>
        <w:rPr>
          <w:rFonts w:ascii="宋体" w:hAnsi="宋体"/>
          <w:color w:val="auto"/>
          <w:szCs w:val="21"/>
          <w:highlight w:val="none"/>
        </w:rPr>
      </w:pPr>
    </w:p>
    <w:p w14:paraId="10BB334E">
      <w:pPr>
        <w:spacing w:line="288" w:lineRule="auto"/>
        <w:jc w:val="right"/>
        <w:rPr>
          <w:rFonts w:ascii="宋体" w:hAnsi="宋体"/>
          <w:color w:val="auto"/>
          <w:szCs w:val="21"/>
          <w:highlight w:val="none"/>
        </w:rPr>
      </w:pPr>
      <w:r>
        <w:rPr>
          <w:rFonts w:hint="eastAsia" w:ascii="宋体" w:hAnsi="宋体"/>
          <w:color w:val="auto"/>
          <w:sz w:val="24"/>
          <w:highlight w:val="none"/>
        </w:rPr>
        <w:t>续上表</w:t>
      </w:r>
    </w:p>
    <w:tbl>
      <w:tblPr>
        <w:tblStyle w:val="6"/>
        <w:tblW w:w="9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831"/>
        <w:gridCol w:w="1209"/>
        <w:gridCol w:w="634"/>
        <w:gridCol w:w="5793"/>
      </w:tblGrid>
      <w:tr w14:paraId="67384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156" w:type="dxa"/>
            <w:gridSpan w:val="5"/>
            <w:vAlign w:val="center"/>
          </w:tcPr>
          <w:p w14:paraId="0A6BA651">
            <w:pPr>
              <w:pStyle w:val="5"/>
              <w:spacing w:line="288" w:lineRule="auto"/>
              <w:jc w:val="center"/>
              <w:rPr>
                <w:rFonts w:hAnsi="宋体"/>
                <w:color w:val="auto"/>
                <w:szCs w:val="21"/>
                <w:highlight w:val="none"/>
              </w:rPr>
            </w:pPr>
            <w:r>
              <w:rPr>
                <w:rFonts w:hint="eastAsia" w:hAnsi="宋体"/>
                <w:color w:val="auto"/>
                <w:szCs w:val="21"/>
                <w:highlight w:val="none"/>
              </w:rPr>
              <w:t>评分因素与权重分值</w:t>
            </w:r>
          </w:p>
        </w:tc>
        <w:tc>
          <w:tcPr>
            <w:tcW w:w="5793" w:type="dxa"/>
            <w:vMerge w:val="restart"/>
            <w:vAlign w:val="center"/>
          </w:tcPr>
          <w:p w14:paraId="6955865F">
            <w:pPr>
              <w:pStyle w:val="5"/>
              <w:spacing w:line="288" w:lineRule="auto"/>
              <w:jc w:val="center"/>
              <w:rPr>
                <w:rFonts w:hAnsi="宋体"/>
                <w:color w:val="auto"/>
                <w:szCs w:val="21"/>
                <w:highlight w:val="none"/>
              </w:rPr>
            </w:pPr>
            <w:r>
              <w:rPr>
                <w:rFonts w:hint="eastAsia" w:hAnsi="宋体"/>
                <w:color w:val="auto"/>
                <w:szCs w:val="21"/>
                <w:highlight w:val="none"/>
              </w:rPr>
              <w:t>评分标准</w:t>
            </w:r>
          </w:p>
        </w:tc>
      </w:tr>
      <w:tr w14:paraId="2F54D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41" w:type="dxa"/>
            <w:vAlign w:val="center"/>
          </w:tcPr>
          <w:p w14:paraId="440C5B84">
            <w:pPr>
              <w:pStyle w:val="5"/>
              <w:spacing w:line="288" w:lineRule="auto"/>
              <w:jc w:val="center"/>
              <w:rPr>
                <w:rFonts w:hAnsi="宋体"/>
                <w:color w:val="auto"/>
                <w:szCs w:val="21"/>
                <w:highlight w:val="none"/>
              </w:rPr>
            </w:pPr>
            <w:r>
              <w:rPr>
                <w:rFonts w:hint="eastAsia" w:hAnsi="宋体"/>
                <w:color w:val="auto"/>
                <w:szCs w:val="21"/>
                <w:highlight w:val="none"/>
              </w:rPr>
              <w:t>条款号</w:t>
            </w:r>
          </w:p>
        </w:tc>
        <w:tc>
          <w:tcPr>
            <w:tcW w:w="741" w:type="dxa"/>
            <w:vAlign w:val="center"/>
          </w:tcPr>
          <w:p w14:paraId="610F9D2C">
            <w:pPr>
              <w:pStyle w:val="5"/>
              <w:spacing w:line="288" w:lineRule="auto"/>
              <w:jc w:val="center"/>
              <w:rPr>
                <w:rFonts w:hAnsi="宋体"/>
                <w:color w:val="auto"/>
                <w:szCs w:val="21"/>
                <w:highlight w:val="none"/>
              </w:rPr>
            </w:pPr>
            <w:r>
              <w:rPr>
                <w:rFonts w:hint="eastAsia" w:hAnsi="宋体"/>
                <w:color w:val="auto"/>
                <w:szCs w:val="21"/>
                <w:highlight w:val="none"/>
              </w:rPr>
              <w:t>评分因素</w:t>
            </w:r>
          </w:p>
        </w:tc>
        <w:tc>
          <w:tcPr>
            <w:tcW w:w="831" w:type="dxa"/>
            <w:vAlign w:val="center"/>
          </w:tcPr>
          <w:p w14:paraId="453051B4">
            <w:pPr>
              <w:pStyle w:val="5"/>
              <w:spacing w:line="288" w:lineRule="auto"/>
              <w:jc w:val="center"/>
              <w:rPr>
                <w:rFonts w:hAnsi="宋体"/>
                <w:color w:val="auto"/>
                <w:szCs w:val="21"/>
                <w:highlight w:val="none"/>
              </w:rPr>
            </w:pPr>
            <w:r>
              <w:rPr>
                <w:rFonts w:hint="eastAsia" w:hAnsi="宋体"/>
                <w:color w:val="auto"/>
                <w:szCs w:val="21"/>
                <w:highlight w:val="none"/>
              </w:rPr>
              <w:t>评分因素</w:t>
            </w:r>
            <w:r>
              <w:rPr>
                <w:rFonts w:hAnsi="宋体"/>
                <w:color w:val="auto"/>
                <w:szCs w:val="21"/>
                <w:highlight w:val="none"/>
              </w:rPr>
              <w:t xml:space="preserve"> </w:t>
            </w:r>
            <w:r>
              <w:rPr>
                <w:rFonts w:hint="eastAsia" w:hAnsi="宋体"/>
                <w:color w:val="auto"/>
                <w:szCs w:val="21"/>
                <w:highlight w:val="none"/>
              </w:rPr>
              <w:t>权重分值</w:t>
            </w:r>
          </w:p>
        </w:tc>
        <w:tc>
          <w:tcPr>
            <w:tcW w:w="1209" w:type="dxa"/>
            <w:vAlign w:val="center"/>
          </w:tcPr>
          <w:p w14:paraId="6D1BD78F">
            <w:pPr>
              <w:pStyle w:val="5"/>
              <w:spacing w:line="288" w:lineRule="auto"/>
              <w:jc w:val="center"/>
              <w:rPr>
                <w:rFonts w:hAnsi="宋体"/>
                <w:color w:val="auto"/>
                <w:szCs w:val="21"/>
                <w:highlight w:val="none"/>
              </w:rPr>
            </w:pPr>
            <w:r>
              <w:rPr>
                <w:rStyle w:val="10"/>
                <w:color w:val="auto"/>
                <w:highlight w:val="none"/>
              </w:rPr>
              <w:t>各评分因素细分项</w:t>
            </w:r>
          </w:p>
        </w:tc>
        <w:tc>
          <w:tcPr>
            <w:tcW w:w="634" w:type="dxa"/>
            <w:vAlign w:val="center"/>
          </w:tcPr>
          <w:p w14:paraId="639D424E">
            <w:pPr>
              <w:pStyle w:val="5"/>
              <w:spacing w:line="288" w:lineRule="auto"/>
              <w:jc w:val="center"/>
              <w:rPr>
                <w:rFonts w:hAnsi="宋体"/>
                <w:color w:val="auto"/>
                <w:szCs w:val="21"/>
                <w:highlight w:val="none"/>
              </w:rPr>
            </w:pPr>
            <w:r>
              <w:rPr>
                <w:rFonts w:hint="eastAsia" w:hAnsi="宋体"/>
                <w:color w:val="auto"/>
                <w:szCs w:val="21"/>
                <w:highlight w:val="none"/>
              </w:rPr>
              <w:t>分值</w:t>
            </w:r>
          </w:p>
        </w:tc>
        <w:tc>
          <w:tcPr>
            <w:tcW w:w="5793" w:type="dxa"/>
            <w:vMerge w:val="continue"/>
            <w:vAlign w:val="center"/>
          </w:tcPr>
          <w:p w14:paraId="58E191DF">
            <w:pPr>
              <w:pStyle w:val="5"/>
              <w:spacing w:line="288" w:lineRule="auto"/>
              <w:jc w:val="center"/>
              <w:rPr>
                <w:rFonts w:hAnsi="宋体"/>
                <w:color w:val="auto"/>
                <w:szCs w:val="21"/>
                <w:highlight w:val="none"/>
              </w:rPr>
            </w:pPr>
          </w:p>
        </w:tc>
      </w:tr>
      <w:tr w14:paraId="5352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41" w:type="dxa"/>
            <w:vMerge w:val="restart"/>
            <w:vAlign w:val="center"/>
          </w:tcPr>
          <w:p w14:paraId="331723DF">
            <w:pPr>
              <w:pStyle w:val="5"/>
              <w:spacing w:line="288" w:lineRule="auto"/>
              <w:jc w:val="center"/>
              <w:rPr>
                <w:rFonts w:hAnsi="宋体"/>
                <w:color w:val="auto"/>
                <w:szCs w:val="21"/>
                <w:highlight w:val="none"/>
              </w:rPr>
            </w:pPr>
            <w:r>
              <w:rPr>
                <w:rFonts w:hAnsi="宋体"/>
                <w:color w:val="auto"/>
                <w:szCs w:val="21"/>
                <w:highlight w:val="none"/>
              </w:rPr>
              <w:t>2.2.4（1）</w:t>
            </w:r>
          </w:p>
        </w:tc>
        <w:tc>
          <w:tcPr>
            <w:tcW w:w="741" w:type="dxa"/>
            <w:vMerge w:val="restart"/>
            <w:vAlign w:val="center"/>
          </w:tcPr>
          <w:p w14:paraId="0CDD8647">
            <w:pPr>
              <w:pStyle w:val="5"/>
              <w:spacing w:line="288" w:lineRule="auto"/>
              <w:jc w:val="center"/>
              <w:rPr>
                <w:rFonts w:hAnsi="宋体"/>
                <w:color w:val="auto"/>
                <w:szCs w:val="21"/>
                <w:highlight w:val="none"/>
              </w:rPr>
            </w:pPr>
            <w:r>
              <w:rPr>
                <w:rFonts w:hint="eastAsia" w:hAnsi="宋体"/>
                <w:color w:val="auto"/>
                <w:szCs w:val="21"/>
                <w:highlight w:val="none"/>
              </w:rPr>
              <w:t>技术</w:t>
            </w:r>
            <w:r>
              <w:rPr>
                <w:rFonts w:hint="eastAsia" w:hAnsi="宋体"/>
                <w:color w:val="auto"/>
                <w:szCs w:val="21"/>
                <w:highlight w:val="none"/>
                <w:lang w:val="en-US" w:eastAsia="zh-CN"/>
              </w:rPr>
              <w:t>建议书</w:t>
            </w:r>
            <w:r>
              <w:rPr>
                <w:rFonts w:hint="eastAsia" w:hAnsi="宋体"/>
                <w:color w:val="auto"/>
                <w:szCs w:val="21"/>
                <w:highlight w:val="none"/>
                <w:lang w:eastAsia="zh-CN"/>
              </w:rPr>
              <w:t>（</w:t>
            </w:r>
            <w:r>
              <w:rPr>
                <w:rFonts w:hint="eastAsia" w:hAnsi="宋体"/>
                <w:color w:val="auto"/>
                <w:szCs w:val="21"/>
                <w:highlight w:val="none"/>
                <w:lang w:val="en-US" w:eastAsia="zh-CN"/>
              </w:rPr>
              <w:t>暗标</w:t>
            </w:r>
            <w:r>
              <w:rPr>
                <w:rFonts w:hint="eastAsia" w:hAnsi="宋体"/>
                <w:color w:val="auto"/>
                <w:szCs w:val="21"/>
                <w:highlight w:val="none"/>
                <w:lang w:eastAsia="zh-CN"/>
              </w:rPr>
              <w:t>）</w:t>
            </w:r>
          </w:p>
        </w:tc>
        <w:tc>
          <w:tcPr>
            <w:tcW w:w="831" w:type="dxa"/>
            <w:vMerge w:val="restart"/>
            <w:vAlign w:val="center"/>
          </w:tcPr>
          <w:p w14:paraId="31C3C7E5">
            <w:pPr>
              <w:pStyle w:val="5"/>
              <w:spacing w:line="288" w:lineRule="auto"/>
              <w:jc w:val="center"/>
              <w:rPr>
                <w:rFonts w:hAnsi="宋体"/>
                <w:color w:val="auto"/>
                <w:szCs w:val="21"/>
                <w:highlight w:val="none"/>
              </w:rPr>
            </w:pPr>
            <w:r>
              <w:rPr>
                <w:rFonts w:hint="eastAsia" w:hAnsi="宋体"/>
                <w:color w:val="auto"/>
                <w:szCs w:val="21"/>
                <w:highlight w:val="none"/>
                <w:lang w:val="en-US" w:eastAsia="zh-CN"/>
              </w:rPr>
              <w:t>50</w:t>
            </w:r>
            <w:r>
              <w:rPr>
                <w:rFonts w:hint="eastAsia" w:hAnsi="宋体"/>
                <w:color w:val="auto"/>
                <w:szCs w:val="21"/>
                <w:highlight w:val="none"/>
              </w:rPr>
              <w:t>分</w:t>
            </w:r>
          </w:p>
        </w:tc>
        <w:tc>
          <w:tcPr>
            <w:tcW w:w="1209" w:type="dxa"/>
            <w:vMerge w:val="restart"/>
            <w:vAlign w:val="center"/>
          </w:tcPr>
          <w:p w14:paraId="216543E7">
            <w:pPr>
              <w:pStyle w:val="5"/>
              <w:spacing w:line="288" w:lineRule="auto"/>
              <w:jc w:val="center"/>
              <w:rPr>
                <w:rFonts w:hint="eastAsia" w:hAnsi="宋体"/>
                <w:color w:val="auto"/>
                <w:szCs w:val="21"/>
                <w:highlight w:val="none"/>
              </w:rPr>
            </w:pPr>
            <w:r>
              <w:rPr>
                <w:rFonts w:hint="eastAsia" w:hAnsi="宋体"/>
                <w:color w:val="auto"/>
                <w:szCs w:val="21"/>
                <w:highlight w:val="none"/>
              </w:rPr>
              <w:t>对本项目工作范围和任务</w:t>
            </w:r>
          </w:p>
          <w:p w14:paraId="4A6CFD78">
            <w:pPr>
              <w:pStyle w:val="5"/>
              <w:spacing w:line="288" w:lineRule="auto"/>
              <w:jc w:val="center"/>
              <w:rPr>
                <w:rFonts w:hAnsi="宋体"/>
                <w:color w:val="auto"/>
                <w:szCs w:val="21"/>
                <w:highlight w:val="none"/>
              </w:rPr>
            </w:pPr>
            <w:r>
              <w:rPr>
                <w:rFonts w:hint="eastAsia" w:hAnsi="宋体"/>
                <w:color w:val="auto"/>
                <w:szCs w:val="21"/>
                <w:highlight w:val="none"/>
              </w:rPr>
              <w:t>理解</w:t>
            </w:r>
          </w:p>
        </w:tc>
        <w:tc>
          <w:tcPr>
            <w:tcW w:w="634" w:type="dxa"/>
            <w:vMerge w:val="restart"/>
            <w:vAlign w:val="center"/>
          </w:tcPr>
          <w:p w14:paraId="2640671E">
            <w:pPr>
              <w:pStyle w:val="5"/>
              <w:spacing w:line="288" w:lineRule="auto"/>
              <w:jc w:val="center"/>
              <w:rPr>
                <w:rFonts w:hAnsi="宋体"/>
                <w:color w:val="auto"/>
                <w:szCs w:val="21"/>
                <w:highlight w:val="none"/>
              </w:rPr>
            </w:pPr>
            <w:r>
              <w:rPr>
                <w:rFonts w:hint="eastAsia" w:hAnsi="宋体"/>
                <w:color w:val="auto"/>
                <w:szCs w:val="21"/>
                <w:highlight w:val="none"/>
                <w:lang w:val="en-US" w:eastAsia="zh-CN"/>
              </w:rPr>
              <w:t>10</w:t>
            </w:r>
            <w:r>
              <w:rPr>
                <w:rFonts w:hint="eastAsia" w:hAnsi="宋体"/>
                <w:color w:val="auto"/>
                <w:szCs w:val="21"/>
                <w:highlight w:val="none"/>
              </w:rPr>
              <w:t>分</w:t>
            </w:r>
          </w:p>
        </w:tc>
        <w:tc>
          <w:tcPr>
            <w:tcW w:w="5793" w:type="dxa"/>
            <w:vAlign w:val="center"/>
          </w:tcPr>
          <w:p w14:paraId="791F3BE0">
            <w:pPr>
              <w:adjustRightInd w:val="0"/>
              <w:snapToGrid w:val="0"/>
              <w:spacing w:line="288" w:lineRule="auto"/>
              <w:rPr>
                <w:rFonts w:ascii="宋体" w:hAnsi="宋体"/>
                <w:color w:val="auto"/>
                <w:sz w:val="21"/>
                <w:szCs w:val="21"/>
                <w:highlight w:val="none"/>
              </w:rPr>
            </w:pPr>
            <w:r>
              <w:rPr>
                <w:rFonts w:hint="eastAsia" w:ascii="宋体" w:hAnsi="宋体"/>
                <w:color w:val="auto"/>
                <w:sz w:val="21"/>
                <w:szCs w:val="21"/>
                <w:highlight w:val="none"/>
              </w:rPr>
              <w:t>理解基本准确，得</w:t>
            </w:r>
            <w:r>
              <w:rPr>
                <w:rFonts w:hint="eastAsia" w:ascii="宋体" w:hAnsi="宋体"/>
                <w:color w:val="auto"/>
                <w:sz w:val="21"/>
                <w:szCs w:val="21"/>
                <w:highlight w:val="none"/>
                <w:lang w:val="en-US" w:eastAsia="zh-CN"/>
              </w:rPr>
              <w:t>6.0</w:t>
            </w:r>
            <w:r>
              <w:rPr>
                <w:rFonts w:hint="eastAsia" w:ascii="宋体" w:hAnsi="宋体"/>
                <w:color w:val="auto"/>
                <w:sz w:val="21"/>
                <w:szCs w:val="21"/>
                <w:highlight w:val="none"/>
              </w:rPr>
              <w:t>分；</w:t>
            </w:r>
          </w:p>
        </w:tc>
      </w:tr>
      <w:tr w14:paraId="29E52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41" w:type="dxa"/>
            <w:vMerge w:val="continue"/>
            <w:vAlign w:val="center"/>
          </w:tcPr>
          <w:p w14:paraId="50768B30">
            <w:pPr>
              <w:pStyle w:val="5"/>
              <w:spacing w:line="288" w:lineRule="auto"/>
              <w:jc w:val="center"/>
              <w:rPr>
                <w:rFonts w:hAnsi="宋体"/>
                <w:color w:val="auto"/>
                <w:szCs w:val="21"/>
                <w:highlight w:val="none"/>
              </w:rPr>
            </w:pPr>
          </w:p>
        </w:tc>
        <w:tc>
          <w:tcPr>
            <w:tcW w:w="741" w:type="dxa"/>
            <w:vMerge w:val="continue"/>
            <w:vAlign w:val="center"/>
          </w:tcPr>
          <w:p w14:paraId="21ABDEBA">
            <w:pPr>
              <w:pStyle w:val="5"/>
              <w:spacing w:line="288" w:lineRule="auto"/>
              <w:jc w:val="center"/>
              <w:rPr>
                <w:rFonts w:hAnsi="宋体"/>
                <w:color w:val="auto"/>
                <w:szCs w:val="21"/>
                <w:highlight w:val="none"/>
              </w:rPr>
            </w:pPr>
          </w:p>
        </w:tc>
        <w:tc>
          <w:tcPr>
            <w:tcW w:w="831" w:type="dxa"/>
            <w:vMerge w:val="continue"/>
            <w:vAlign w:val="center"/>
          </w:tcPr>
          <w:p w14:paraId="1D112DAB">
            <w:pPr>
              <w:pStyle w:val="5"/>
              <w:spacing w:line="288" w:lineRule="auto"/>
              <w:jc w:val="center"/>
              <w:rPr>
                <w:rFonts w:hAnsi="宋体"/>
                <w:color w:val="auto"/>
                <w:szCs w:val="21"/>
                <w:highlight w:val="none"/>
              </w:rPr>
            </w:pPr>
          </w:p>
        </w:tc>
        <w:tc>
          <w:tcPr>
            <w:tcW w:w="1209" w:type="dxa"/>
            <w:vMerge w:val="continue"/>
          </w:tcPr>
          <w:p w14:paraId="23F8FDB1">
            <w:pPr>
              <w:pStyle w:val="5"/>
              <w:spacing w:line="288" w:lineRule="auto"/>
              <w:jc w:val="center"/>
              <w:rPr>
                <w:rFonts w:hAnsi="宋体"/>
                <w:color w:val="auto"/>
                <w:szCs w:val="21"/>
                <w:highlight w:val="none"/>
              </w:rPr>
            </w:pPr>
          </w:p>
        </w:tc>
        <w:tc>
          <w:tcPr>
            <w:tcW w:w="634" w:type="dxa"/>
            <w:vMerge w:val="continue"/>
            <w:vAlign w:val="center"/>
          </w:tcPr>
          <w:p w14:paraId="716B4762">
            <w:pPr>
              <w:pStyle w:val="5"/>
              <w:spacing w:line="288" w:lineRule="auto"/>
              <w:jc w:val="center"/>
              <w:rPr>
                <w:rFonts w:hAnsi="宋体"/>
                <w:color w:val="auto"/>
                <w:szCs w:val="21"/>
                <w:highlight w:val="none"/>
              </w:rPr>
            </w:pPr>
          </w:p>
        </w:tc>
        <w:tc>
          <w:tcPr>
            <w:tcW w:w="5793" w:type="dxa"/>
            <w:vAlign w:val="center"/>
          </w:tcPr>
          <w:p w14:paraId="744B6048">
            <w:pPr>
              <w:pStyle w:val="5"/>
              <w:spacing w:line="288" w:lineRule="auto"/>
              <w:jc w:val="left"/>
              <w:rPr>
                <w:rFonts w:hAnsi="宋体"/>
                <w:color w:val="auto"/>
                <w:spacing w:val="-4"/>
                <w:szCs w:val="21"/>
                <w:highlight w:val="none"/>
              </w:rPr>
            </w:pPr>
            <w:r>
              <w:rPr>
                <w:rFonts w:hint="eastAsia" w:hAnsi="宋体"/>
                <w:color w:val="auto"/>
                <w:szCs w:val="21"/>
                <w:highlight w:val="none"/>
              </w:rPr>
              <w:t>理解较准确，思路较清晰，得</w:t>
            </w:r>
            <w:r>
              <w:rPr>
                <w:rFonts w:hint="eastAsia" w:hAnsi="宋体"/>
                <w:color w:val="auto"/>
                <w:szCs w:val="21"/>
                <w:highlight w:val="none"/>
                <w:lang w:val="en-US" w:eastAsia="zh-CN"/>
              </w:rPr>
              <w:t>6.1</w:t>
            </w:r>
            <w:r>
              <w:rPr>
                <w:rFonts w:hint="eastAsia" w:hAnsi="宋体"/>
                <w:color w:val="auto"/>
                <w:szCs w:val="21"/>
                <w:highlight w:val="none"/>
              </w:rPr>
              <w:t>－</w:t>
            </w:r>
            <w:r>
              <w:rPr>
                <w:rFonts w:hint="eastAsia" w:hAnsi="宋体"/>
                <w:color w:val="auto"/>
                <w:szCs w:val="21"/>
                <w:highlight w:val="none"/>
                <w:lang w:val="en-US" w:eastAsia="zh-CN"/>
              </w:rPr>
              <w:t>8.0</w:t>
            </w:r>
            <w:r>
              <w:rPr>
                <w:rFonts w:hint="eastAsia" w:hAnsi="宋体"/>
                <w:color w:val="auto"/>
                <w:szCs w:val="21"/>
                <w:highlight w:val="none"/>
              </w:rPr>
              <w:t>分；</w:t>
            </w:r>
          </w:p>
        </w:tc>
      </w:tr>
      <w:tr w14:paraId="7B902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14:paraId="323C4202">
            <w:pPr>
              <w:pStyle w:val="5"/>
              <w:spacing w:line="288" w:lineRule="auto"/>
              <w:jc w:val="center"/>
              <w:rPr>
                <w:rFonts w:hAnsi="宋体"/>
                <w:color w:val="auto"/>
                <w:szCs w:val="21"/>
                <w:highlight w:val="none"/>
              </w:rPr>
            </w:pPr>
          </w:p>
        </w:tc>
        <w:tc>
          <w:tcPr>
            <w:tcW w:w="741" w:type="dxa"/>
            <w:vMerge w:val="continue"/>
            <w:vAlign w:val="center"/>
          </w:tcPr>
          <w:p w14:paraId="05833BC6">
            <w:pPr>
              <w:pStyle w:val="5"/>
              <w:spacing w:line="288" w:lineRule="auto"/>
              <w:jc w:val="center"/>
              <w:rPr>
                <w:rFonts w:hAnsi="宋体"/>
                <w:color w:val="auto"/>
                <w:szCs w:val="21"/>
                <w:highlight w:val="none"/>
              </w:rPr>
            </w:pPr>
          </w:p>
        </w:tc>
        <w:tc>
          <w:tcPr>
            <w:tcW w:w="831" w:type="dxa"/>
            <w:vMerge w:val="continue"/>
            <w:vAlign w:val="center"/>
          </w:tcPr>
          <w:p w14:paraId="7C0A7DC3">
            <w:pPr>
              <w:pStyle w:val="5"/>
              <w:spacing w:line="288" w:lineRule="auto"/>
              <w:jc w:val="center"/>
              <w:rPr>
                <w:rFonts w:hAnsi="宋体"/>
                <w:color w:val="auto"/>
                <w:szCs w:val="21"/>
                <w:highlight w:val="none"/>
              </w:rPr>
            </w:pPr>
          </w:p>
        </w:tc>
        <w:tc>
          <w:tcPr>
            <w:tcW w:w="1209" w:type="dxa"/>
            <w:vMerge w:val="continue"/>
          </w:tcPr>
          <w:p w14:paraId="5A4240F7">
            <w:pPr>
              <w:pStyle w:val="5"/>
              <w:spacing w:line="288" w:lineRule="auto"/>
              <w:jc w:val="center"/>
              <w:rPr>
                <w:rFonts w:hAnsi="宋体"/>
                <w:color w:val="auto"/>
                <w:szCs w:val="21"/>
                <w:highlight w:val="none"/>
              </w:rPr>
            </w:pPr>
          </w:p>
        </w:tc>
        <w:tc>
          <w:tcPr>
            <w:tcW w:w="634" w:type="dxa"/>
            <w:vMerge w:val="continue"/>
            <w:vAlign w:val="center"/>
          </w:tcPr>
          <w:p w14:paraId="6EEAA94D">
            <w:pPr>
              <w:pStyle w:val="5"/>
              <w:spacing w:line="288" w:lineRule="auto"/>
              <w:jc w:val="center"/>
              <w:rPr>
                <w:rFonts w:hAnsi="宋体"/>
                <w:color w:val="auto"/>
                <w:szCs w:val="21"/>
                <w:highlight w:val="none"/>
              </w:rPr>
            </w:pPr>
          </w:p>
        </w:tc>
        <w:tc>
          <w:tcPr>
            <w:tcW w:w="5793" w:type="dxa"/>
            <w:vAlign w:val="center"/>
          </w:tcPr>
          <w:p w14:paraId="2150CA4D">
            <w:pPr>
              <w:pStyle w:val="5"/>
              <w:spacing w:line="288" w:lineRule="auto"/>
              <w:jc w:val="left"/>
              <w:rPr>
                <w:rFonts w:hAnsi="宋体"/>
                <w:color w:val="auto"/>
                <w:szCs w:val="21"/>
                <w:highlight w:val="none"/>
              </w:rPr>
            </w:pPr>
            <w:r>
              <w:rPr>
                <w:rFonts w:hint="eastAsia" w:hAnsi="宋体"/>
                <w:color w:val="auto"/>
                <w:szCs w:val="21"/>
                <w:highlight w:val="none"/>
              </w:rPr>
              <w:t>理解准确，思路清晰，全面、合理，符合项目要求，得</w:t>
            </w:r>
            <w:r>
              <w:rPr>
                <w:rFonts w:hint="eastAsia" w:hAnsi="宋体"/>
                <w:color w:val="auto"/>
                <w:szCs w:val="21"/>
                <w:highlight w:val="none"/>
                <w:lang w:val="en-US" w:eastAsia="zh-CN"/>
              </w:rPr>
              <w:t>8.1</w:t>
            </w:r>
            <w:r>
              <w:rPr>
                <w:rFonts w:hint="eastAsia" w:hAnsi="宋体"/>
                <w:color w:val="auto"/>
                <w:szCs w:val="21"/>
                <w:highlight w:val="none"/>
              </w:rPr>
              <w:t>－</w:t>
            </w:r>
            <w:r>
              <w:rPr>
                <w:rFonts w:hint="eastAsia" w:hAnsi="宋体"/>
                <w:color w:val="auto"/>
                <w:szCs w:val="21"/>
                <w:highlight w:val="none"/>
                <w:lang w:val="en-US" w:eastAsia="zh-CN"/>
              </w:rPr>
              <w:t>10</w:t>
            </w:r>
            <w:r>
              <w:rPr>
                <w:rFonts w:hint="eastAsia" w:hAnsi="宋体"/>
                <w:color w:val="auto"/>
                <w:szCs w:val="21"/>
                <w:highlight w:val="none"/>
              </w:rPr>
              <w:t>分；</w:t>
            </w:r>
          </w:p>
        </w:tc>
      </w:tr>
      <w:tr w14:paraId="5F493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41" w:type="dxa"/>
            <w:vMerge w:val="continue"/>
            <w:vAlign w:val="center"/>
          </w:tcPr>
          <w:p w14:paraId="7A47F716">
            <w:pPr>
              <w:pStyle w:val="5"/>
              <w:spacing w:line="288" w:lineRule="auto"/>
              <w:jc w:val="center"/>
              <w:rPr>
                <w:rFonts w:hAnsi="宋体"/>
                <w:color w:val="auto"/>
                <w:szCs w:val="21"/>
                <w:highlight w:val="none"/>
              </w:rPr>
            </w:pPr>
          </w:p>
        </w:tc>
        <w:tc>
          <w:tcPr>
            <w:tcW w:w="741" w:type="dxa"/>
            <w:vMerge w:val="continue"/>
          </w:tcPr>
          <w:p w14:paraId="3A53B2C5">
            <w:pPr>
              <w:pStyle w:val="5"/>
              <w:spacing w:line="288" w:lineRule="auto"/>
              <w:jc w:val="center"/>
              <w:rPr>
                <w:rFonts w:hAnsi="宋体"/>
                <w:color w:val="auto"/>
                <w:szCs w:val="21"/>
                <w:highlight w:val="none"/>
              </w:rPr>
            </w:pPr>
          </w:p>
        </w:tc>
        <w:tc>
          <w:tcPr>
            <w:tcW w:w="831" w:type="dxa"/>
            <w:vMerge w:val="continue"/>
            <w:vAlign w:val="center"/>
          </w:tcPr>
          <w:p w14:paraId="2AEB59E4">
            <w:pPr>
              <w:pStyle w:val="5"/>
              <w:spacing w:line="288" w:lineRule="auto"/>
              <w:jc w:val="center"/>
              <w:rPr>
                <w:rFonts w:hAnsi="宋体"/>
                <w:color w:val="auto"/>
                <w:szCs w:val="21"/>
                <w:highlight w:val="none"/>
              </w:rPr>
            </w:pPr>
          </w:p>
        </w:tc>
        <w:tc>
          <w:tcPr>
            <w:tcW w:w="1209" w:type="dxa"/>
            <w:vMerge w:val="restart"/>
            <w:vAlign w:val="center"/>
          </w:tcPr>
          <w:p w14:paraId="0B0A9D33">
            <w:pPr>
              <w:pStyle w:val="5"/>
              <w:spacing w:line="288" w:lineRule="auto"/>
              <w:jc w:val="center"/>
              <w:rPr>
                <w:rFonts w:hAnsi="宋体"/>
                <w:color w:val="auto"/>
                <w:szCs w:val="21"/>
                <w:highlight w:val="none"/>
              </w:rPr>
            </w:pPr>
            <w:r>
              <w:rPr>
                <w:rFonts w:hint="eastAsia" w:hAnsi="宋体"/>
                <w:color w:val="auto"/>
                <w:szCs w:val="21"/>
                <w:highlight w:val="none"/>
              </w:rPr>
              <w:t>工作目标及工作思路</w:t>
            </w:r>
          </w:p>
        </w:tc>
        <w:tc>
          <w:tcPr>
            <w:tcW w:w="634" w:type="dxa"/>
            <w:vMerge w:val="restart"/>
            <w:vAlign w:val="center"/>
          </w:tcPr>
          <w:p w14:paraId="1BF5B41F">
            <w:pPr>
              <w:pStyle w:val="5"/>
              <w:spacing w:line="288" w:lineRule="auto"/>
              <w:jc w:val="center"/>
              <w:rPr>
                <w:rFonts w:hAnsi="宋体"/>
                <w:color w:val="auto"/>
                <w:szCs w:val="21"/>
                <w:highlight w:val="none"/>
              </w:rPr>
            </w:pPr>
            <w:r>
              <w:rPr>
                <w:rFonts w:hAnsi="宋体"/>
                <w:color w:val="auto"/>
                <w:szCs w:val="21"/>
                <w:highlight w:val="none"/>
              </w:rPr>
              <w:t>1</w:t>
            </w:r>
            <w:r>
              <w:rPr>
                <w:rFonts w:hint="eastAsia" w:hAnsi="宋体"/>
                <w:color w:val="auto"/>
                <w:szCs w:val="21"/>
                <w:highlight w:val="none"/>
                <w:lang w:val="en-US" w:eastAsia="zh-CN"/>
              </w:rPr>
              <w:t>0</w:t>
            </w:r>
            <w:r>
              <w:rPr>
                <w:rFonts w:hint="eastAsia" w:hAnsi="宋体"/>
                <w:color w:val="auto"/>
                <w:szCs w:val="21"/>
                <w:highlight w:val="none"/>
              </w:rPr>
              <w:t>分</w:t>
            </w:r>
          </w:p>
        </w:tc>
        <w:tc>
          <w:tcPr>
            <w:tcW w:w="5793" w:type="dxa"/>
            <w:vAlign w:val="center"/>
          </w:tcPr>
          <w:p w14:paraId="171471F3">
            <w:pPr>
              <w:adjustRightInd w:val="0"/>
              <w:snapToGrid w:val="0"/>
              <w:spacing w:line="288" w:lineRule="auto"/>
              <w:rPr>
                <w:rFonts w:ascii="宋体" w:hAnsi="宋体"/>
                <w:color w:val="auto"/>
                <w:sz w:val="21"/>
                <w:szCs w:val="21"/>
                <w:highlight w:val="none"/>
              </w:rPr>
            </w:pPr>
            <w:r>
              <w:rPr>
                <w:rFonts w:hint="eastAsia" w:ascii="宋体" w:hAnsi="宋体"/>
                <w:color w:val="auto"/>
                <w:sz w:val="21"/>
                <w:szCs w:val="21"/>
                <w:highlight w:val="none"/>
              </w:rPr>
              <w:t>总体</w:t>
            </w:r>
            <w:r>
              <w:rPr>
                <w:rFonts w:hint="eastAsia" w:ascii="宋体" w:hAnsi="宋体"/>
                <w:color w:val="auto"/>
                <w:sz w:val="21"/>
                <w:szCs w:val="21"/>
                <w:highlight w:val="none"/>
                <w:lang w:val="en-US" w:eastAsia="zh-CN"/>
              </w:rPr>
              <w:t>工作</w:t>
            </w:r>
            <w:r>
              <w:rPr>
                <w:rFonts w:hint="eastAsia" w:ascii="宋体" w:hAnsi="宋体"/>
                <w:color w:val="auto"/>
                <w:sz w:val="21"/>
                <w:szCs w:val="21"/>
                <w:highlight w:val="none"/>
              </w:rPr>
              <w:t>思路与本项目工可中的理念、思路基本吻合，可实施性一般，得</w:t>
            </w:r>
            <w:r>
              <w:rPr>
                <w:rFonts w:hint="eastAsia" w:ascii="宋体" w:hAnsi="宋体"/>
                <w:color w:val="auto"/>
                <w:sz w:val="21"/>
                <w:szCs w:val="21"/>
                <w:highlight w:val="none"/>
                <w:lang w:val="en-US" w:eastAsia="zh-CN"/>
              </w:rPr>
              <w:t>6</w:t>
            </w:r>
            <w:r>
              <w:rPr>
                <w:rFonts w:ascii="宋体" w:hAnsi="宋体"/>
                <w:color w:val="auto"/>
                <w:sz w:val="21"/>
                <w:szCs w:val="21"/>
                <w:highlight w:val="none"/>
              </w:rPr>
              <w:t>.0分；</w:t>
            </w:r>
          </w:p>
        </w:tc>
      </w:tr>
      <w:tr w14:paraId="68F9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41" w:type="dxa"/>
            <w:vMerge w:val="continue"/>
          </w:tcPr>
          <w:p w14:paraId="1B647A44">
            <w:pPr>
              <w:pStyle w:val="5"/>
              <w:spacing w:line="288" w:lineRule="auto"/>
              <w:jc w:val="center"/>
              <w:rPr>
                <w:rFonts w:hAnsi="宋体"/>
                <w:color w:val="auto"/>
                <w:szCs w:val="21"/>
                <w:highlight w:val="none"/>
              </w:rPr>
            </w:pPr>
          </w:p>
        </w:tc>
        <w:tc>
          <w:tcPr>
            <w:tcW w:w="741" w:type="dxa"/>
            <w:vMerge w:val="continue"/>
          </w:tcPr>
          <w:p w14:paraId="4B42AD07">
            <w:pPr>
              <w:pStyle w:val="5"/>
              <w:spacing w:line="288" w:lineRule="auto"/>
              <w:jc w:val="center"/>
              <w:rPr>
                <w:rFonts w:hAnsi="宋体"/>
                <w:color w:val="auto"/>
                <w:szCs w:val="21"/>
                <w:highlight w:val="none"/>
              </w:rPr>
            </w:pPr>
          </w:p>
        </w:tc>
        <w:tc>
          <w:tcPr>
            <w:tcW w:w="831" w:type="dxa"/>
            <w:vMerge w:val="continue"/>
          </w:tcPr>
          <w:p w14:paraId="1BEE98F1">
            <w:pPr>
              <w:pStyle w:val="5"/>
              <w:spacing w:line="288" w:lineRule="auto"/>
              <w:jc w:val="center"/>
              <w:rPr>
                <w:rFonts w:hAnsi="宋体"/>
                <w:color w:val="auto"/>
                <w:szCs w:val="21"/>
                <w:highlight w:val="none"/>
              </w:rPr>
            </w:pPr>
          </w:p>
        </w:tc>
        <w:tc>
          <w:tcPr>
            <w:tcW w:w="1209" w:type="dxa"/>
            <w:vMerge w:val="continue"/>
          </w:tcPr>
          <w:p w14:paraId="3B0FFF1E">
            <w:pPr>
              <w:pStyle w:val="5"/>
              <w:spacing w:line="288" w:lineRule="auto"/>
              <w:jc w:val="center"/>
              <w:rPr>
                <w:rFonts w:hAnsi="宋体"/>
                <w:color w:val="auto"/>
                <w:szCs w:val="21"/>
                <w:highlight w:val="none"/>
              </w:rPr>
            </w:pPr>
          </w:p>
        </w:tc>
        <w:tc>
          <w:tcPr>
            <w:tcW w:w="634" w:type="dxa"/>
            <w:vMerge w:val="continue"/>
            <w:vAlign w:val="center"/>
          </w:tcPr>
          <w:p w14:paraId="667BB41B">
            <w:pPr>
              <w:pStyle w:val="5"/>
              <w:spacing w:line="288" w:lineRule="auto"/>
              <w:jc w:val="center"/>
              <w:rPr>
                <w:rFonts w:hAnsi="宋体"/>
                <w:color w:val="auto"/>
                <w:szCs w:val="21"/>
                <w:highlight w:val="none"/>
              </w:rPr>
            </w:pPr>
          </w:p>
        </w:tc>
        <w:tc>
          <w:tcPr>
            <w:tcW w:w="5793" w:type="dxa"/>
            <w:vAlign w:val="center"/>
          </w:tcPr>
          <w:p w14:paraId="1D7EFE2A">
            <w:pPr>
              <w:pStyle w:val="5"/>
              <w:spacing w:line="288" w:lineRule="auto"/>
              <w:jc w:val="left"/>
              <w:rPr>
                <w:rFonts w:hAnsi="宋体"/>
                <w:color w:val="auto"/>
                <w:szCs w:val="21"/>
                <w:highlight w:val="none"/>
              </w:rPr>
            </w:pPr>
            <w:r>
              <w:rPr>
                <w:rFonts w:hint="eastAsia" w:hAnsi="宋体"/>
                <w:color w:val="auto"/>
                <w:szCs w:val="21"/>
                <w:highlight w:val="none"/>
              </w:rPr>
              <w:t>总体</w:t>
            </w:r>
            <w:r>
              <w:rPr>
                <w:rFonts w:hint="eastAsia" w:hAnsi="宋体"/>
                <w:color w:val="auto"/>
                <w:szCs w:val="21"/>
                <w:highlight w:val="none"/>
                <w:lang w:val="en-US" w:eastAsia="zh-CN"/>
              </w:rPr>
              <w:t>工作</w:t>
            </w:r>
            <w:r>
              <w:rPr>
                <w:rFonts w:hint="eastAsia" w:hAnsi="宋体"/>
                <w:color w:val="auto"/>
                <w:szCs w:val="21"/>
                <w:highlight w:val="none"/>
              </w:rPr>
              <w:t>思路与本项目工可中的理念、思路吻合，可实施性较好，得</w:t>
            </w:r>
            <w:r>
              <w:rPr>
                <w:rFonts w:hint="eastAsia" w:hAnsi="宋体"/>
                <w:color w:val="auto"/>
                <w:szCs w:val="21"/>
                <w:highlight w:val="none"/>
                <w:lang w:val="en-US" w:eastAsia="zh-CN"/>
              </w:rPr>
              <w:t>6</w:t>
            </w:r>
            <w:r>
              <w:rPr>
                <w:rFonts w:hAnsi="宋体"/>
                <w:color w:val="auto"/>
                <w:szCs w:val="21"/>
                <w:highlight w:val="none"/>
              </w:rPr>
              <w:t>.1－</w:t>
            </w:r>
            <w:r>
              <w:rPr>
                <w:rFonts w:hint="eastAsia" w:hAnsi="宋体"/>
                <w:color w:val="auto"/>
                <w:szCs w:val="21"/>
                <w:highlight w:val="none"/>
                <w:lang w:val="en-US" w:eastAsia="zh-CN"/>
              </w:rPr>
              <w:t>8</w:t>
            </w:r>
            <w:r>
              <w:rPr>
                <w:rFonts w:hAnsi="宋体"/>
                <w:color w:val="auto"/>
                <w:szCs w:val="21"/>
                <w:highlight w:val="none"/>
              </w:rPr>
              <w:t>.0分；</w:t>
            </w:r>
          </w:p>
        </w:tc>
      </w:tr>
      <w:tr w14:paraId="2BD90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41" w:type="dxa"/>
            <w:vMerge w:val="continue"/>
          </w:tcPr>
          <w:p w14:paraId="32CF8E6E">
            <w:pPr>
              <w:pStyle w:val="5"/>
              <w:spacing w:line="288" w:lineRule="auto"/>
              <w:jc w:val="center"/>
              <w:rPr>
                <w:rFonts w:hAnsi="宋体"/>
                <w:color w:val="auto"/>
                <w:szCs w:val="21"/>
                <w:highlight w:val="none"/>
              </w:rPr>
            </w:pPr>
          </w:p>
        </w:tc>
        <w:tc>
          <w:tcPr>
            <w:tcW w:w="741" w:type="dxa"/>
            <w:vMerge w:val="continue"/>
          </w:tcPr>
          <w:p w14:paraId="2F04862E">
            <w:pPr>
              <w:pStyle w:val="5"/>
              <w:spacing w:line="288" w:lineRule="auto"/>
              <w:jc w:val="center"/>
              <w:rPr>
                <w:rFonts w:hAnsi="宋体"/>
                <w:color w:val="auto"/>
                <w:szCs w:val="21"/>
                <w:highlight w:val="none"/>
              </w:rPr>
            </w:pPr>
          </w:p>
        </w:tc>
        <w:tc>
          <w:tcPr>
            <w:tcW w:w="831" w:type="dxa"/>
            <w:vMerge w:val="continue"/>
          </w:tcPr>
          <w:p w14:paraId="21640654">
            <w:pPr>
              <w:pStyle w:val="5"/>
              <w:spacing w:line="288" w:lineRule="auto"/>
              <w:jc w:val="center"/>
              <w:rPr>
                <w:rFonts w:hAnsi="宋体"/>
                <w:color w:val="auto"/>
                <w:szCs w:val="21"/>
                <w:highlight w:val="none"/>
              </w:rPr>
            </w:pPr>
          </w:p>
        </w:tc>
        <w:tc>
          <w:tcPr>
            <w:tcW w:w="1209" w:type="dxa"/>
            <w:vMerge w:val="continue"/>
          </w:tcPr>
          <w:p w14:paraId="694E54EF">
            <w:pPr>
              <w:pStyle w:val="5"/>
              <w:spacing w:line="288" w:lineRule="auto"/>
              <w:jc w:val="center"/>
              <w:rPr>
                <w:rFonts w:hAnsi="宋体"/>
                <w:color w:val="auto"/>
                <w:szCs w:val="21"/>
                <w:highlight w:val="none"/>
              </w:rPr>
            </w:pPr>
          </w:p>
        </w:tc>
        <w:tc>
          <w:tcPr>
            <w:tcW w:w="634" w:type="dxa"/>
            <w:vMerge w:val="continue"/>
            <w:vAlign w:val="center"/>
          </w:tcPr>
          <w:p w14:paraId="71DCA360">
            <w:pPr>
              <w:pStyle w:val="5"/>
              <w:spacing w:line="288" w:lineRule="auto"/>
              <w:jc w:val="center"/>
              <w:rPr>
                <w:rFonts w:hAnsi="宋体"/>
                <w:color w:val="auto"/>
                <w:szCs w:val="21"/>
                <w:highlight w:val="none"/>
              </w:rPr>
            </w:pPr>
          </w:p>
        </w:tc>
        <w:tc>
          <w:tcPr>
            <w:tcW w:w="5793" w:type="dxa"/>
            <w:vAlign w:val="center"/>
          </w:tcPr>
          <w:p w14:paraId="2105419D">
            <w:pPr>
              <w:pStyle w:val="5"/>
              <w:spacing w:line="288" w:lineRule="auto"/>
              <w:jc w:val="left"/>
              <w:rPr>
                <w:rFonts w:hAnsi="宋体"/>
                <w:color w:val="auto"/>
                <w:szCs w:val="21"/>
                <w:highlight w:val="none"/>
              </w:rPr>
            </w:pPr>
            <w:r>
              <w:rPr>
                <w:rFonts w:hint="eastAsia" w:hAnsi="宋体"/>
                <w:color w:val="auto"/>
                <w:szCs w:val="21"/>
                <w:highlight w:val="none"/>
              </w:rPr>
              <w:t>总体</w:t>
            </w:r>
            <w:r>
              <w:rPr>
                <w:rFonts w:hint="eastAsia" w:hAnsi="宋体"/>
                <w:color w:val="auto"/>
                <w:szCs w:val="21"/>
                <w:highlight w:val="none"/>
                <w:lang w:val="en-US" w:eastAsia="zh-CN"/>
              </w:rPr>
              <w:t>工作</w:t>
            </w:r>
            <w:r>
              <w:rPr>
                <w:rFonts w:hint="eastAsia" w:hAnsi="宋体"/>
                <w:color w:val="auto"/>
                <w:szCs w:val="21"/>
                <w:highlight w:val="none"/>
              </w:rPr>
              <w:t>思路与本项目工可中的理念、思路高度吻合，可实施性强，得</w:t>
            </w:r>
            <w:r>
              <w:rPr>
                <w:rFonts w:hint="eastAsia" w:hAnsi="宋体"/>
                <w:color w:val="auto"/>
                <w:szCs w:val="21"/>
                <w:highlight w:val="none"/>
                <w:lang w:val="en-US" w:eastAsia="zh-CN"/>
              </w:rPr>
              <w:t>8</w:t>
            </w:r>
            <w:r>
              <w:rPr>
                <w:rFonts w:hAnsi="宋体"/>
                <w:color w:val="auto"/>
                <w:szCs w:val="21"/>
                <w:highlight w:val="none"/>
              </w:rPr>
              <w:t>.1－1</w:t>
            </w:r>
            <w:r>
              <w:rPr>
                <w:rFonts w:hint="eastAsia" w:hAnsi="宋体"/>
                <w:color w:val="auto"/>
                <w:szCs w:val="21"/>
                <w:highlight w:val="none"/>
                <w:lang w:val="en-US" w:eastAsia="zh-CN"/>
              </w:rPr>
              <w:t>0</w:t>
            </w:r>
            <w:r>
              <w:rPr>
                <w:rFonts w:hAnsi="宋体"/>
                <w:color w:val="auto"/>
                <w:szCs w:val="21"/>
                <w:highlight w:val="none"/>
              </w:rPr>
              <w:t>分；</w:t>
            </w:r>
          </w:p>
        </w:tc>
      </w:tr>
      <w:tr w14:paraId="4224E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41" w:type="dxa"/>
            <w:vMerge w:val="continue"/>
            <w:vAlign w:val="center"/>
          </w:tcPr>
          <w:p w14:paraId="137E32AD">
            <w:pPr>
              <w:pStyle w:val="5"/>
              <w:spacing w:line="288" w:lineRule="auto"/>
              <w:jc w:val="center"/>
              <w:rPr>
                <w:rFonts w:hAnsi="宋体"/>
                <w:color w:val="auto"/>
                <w:szCs w:val="21"/>
                <w:highlight w:val="none"/>
              </w:rPr>
            </w:pPr>
          </w:p>
        </w:tc>
        <w:tc>
          <w:tcPr>
            <w:tcW w:w="741" w:type="dxa"/>
            <w:vMerge w:val="continue"/>
          </w:tcPr>
          <w:p w14:paraId="659E9E4E">
            <w:pPr>
              <w:pStyle w:val="5"/>
              <w:spacing w:line="288" w:lineRule="auto"/>
              <w:jc w:val="center"/>
              <w:rPr>
                <w:rFonts w:hAnsi="宋体"/>
                <w:color w:val="auto"/>
                <w:szCs w:val="21"/>
                <w:highlight w:val="none"/>
              </w:rPr>
            </w:pPr>
          </w:p>
        </w:tc>
        <w:tc>
          <w:tcPr>
            <w:tcW w:w="831" w:type="dxa"/>
            <w:vMerge w:val="continue"/>
            <w:vAlign w:val="center"/>
          </w:tcPr>
          <w:p w14:paraId="244F78D3">
            <w:pPr>
              <w:pStyle w:val="5"/>
              <w:spacing w:line="288" w:lineRule="auto"/>
              <w:jc w:val="center"/>
              <w:rPr>
                <w:rFonts w:hAnsi="宋体"/>
                <w:color w:val="auto"/>
                <w:szCs w:val="21"/>
                <w:highlight w:val="none"/>
              </w:rPr>
            </w:pPr>
          </w:p>
        </w:tc>
        <w:tc>
          <w:tcPr>
            <w:tcW w:w="1209" w:type="dxa"/>
            <w:vMerge w:val="restart"/>
            <w:vAlign w:val="center"/>
          </w:tcPr>
          <w:p w14:paraId="4F94BFF1">
            <w:pPr>
              <w:adjustRightInd w:val="0"/>
              <w:snapToGrid w:val="0"/>
              <w:spacing w:line="288" w:lineRule="auto"/>
              <w:rPr>
                <w:rFonts w:ascii="宋体" w:hAnsi="宋体"/>
                <w:color w:val="auto"/>
                <w:sz w:val="21"/>
                <w:szCs w:val="21"/>
                <w:highlight w:val="none"/>
              </w:rPr>
            </w:pPr>
            <w:r>
              <w:rPr>
                <w:rFonts w:hint="eastAsia" w:ascii="宋体" w:hAnsi="宋体"/>
                <w:color w:val="auto"/>
                <w:sz w:val="21"/>
                <w:szCs w:val="21"/>
                <w:highlight w:val="none"/>
              </w:rPr>
              <w:t>各阶段工作主要内容和方法</w:t>
            </w:r>
          </w:p>
        </w:tc>
        <w:tc>
          <w:tcPr>
            <w:tcW w:w="634" w:type="dxa"/>
            <w:vMerge w:val="restart"/>
            <w:vAlign w:val="center"/>
          </w:tcPr>
          <w:p w14:paraId="048ECDD2">
            <w:pPr>
              <w:pStyle w:val="5"/>
              <w:spacing w:line="288" w:lineRule="auto"/>
              <w:jc w:val="center"/>
              <w:rPr>
                <w:rFonts w:hAnsi="宋体"/>
                <w:color w:val="auto"/>
                <w:szCs w:val="21"/>
                <w:highlight w:val="none"/>
              </w:rPr>
            </w:pPr>
            <w:r>
              <w:rPr>
                <w:rFonts w:hint="eastAsia" w:hAnsi="宋体"/>
                <w:color w:val="auto"/>
                <w:szCs w:val="21"/>
                <w:highlight w:val="none"/>
                <w:lang w:val="en-US" w:eastAsia="zh-CN"/>
              </w:rPr>
              <w:t>20</w:t>
            </w:r>
            <w:r>
              <w:rPr>
                <w:rFonts w:hint="eastAsia" w:hAnsi="宋体"/>
                <w:color w:val="auto"/>
                <w:szCs w:val="21"/>
                <w:highlight w:val="none"/>
              </w:rPr>
              <w:t>分</w:t>
            </w:r>
          </w:p>
        </w:tc>
        <w:tc>
          <w:tcPr>
            <w:tcW w:w="5793" w:type="dxa"/>
            <w:vAlign w:val="center"/>
          </w:tcPr>
          <w:p w14:paraId="0ECCCA65">
            <w:pPr>
              <w:adjustRightInd w:val="0"/>
              <w:snapToGrid w:val="0"/>
              <w:spacing w:line="288" w:lineRule="auto"/>
              <w:rPr>
                <w:rFonts w:ascii="宋体" w:hAnsi="宋体"/>
                <w:color w:val="auto"/>
                <w:sz w:val="21"/>
                <w:szCs w:val="21"/>
                <w:highlight w:val="none"/>
              </w:rPr>
            </w:pPr>
            <w:r>
              <w:rPr>
                <w:rFonts w:hint="eastAsia" w:ascii="宋体" w:hAnsi="宋体"/>
                <w:color w:val="auto"/>
                <w:sz w:val="21"/>
                <w:szCs w:val="21"/>
                <w:highlight w:val="none"/>
              </w:rPr>
              <w:t>内容基本齐全，方法基本合理，可实施性一般，得</w:t>
            </w:r>
            <w:r>
              <w:rPr>
                <w:rFonts w:hint="eastAsia" w:ascii="宋体" w:hAnsi="宋体"/>
                <w:color w:val="auto"/>
                <w:sz w:val="21"/>
                <w:szCs w:val="21"/>
                <w:highlight w:val="none"/>
                <w:lang w:val="en-US" w:eastAsia="zh-CN"/>
              </w:rPr>
              <w:t>12</w:t>
            </w:r>
            <w:r>
              <w:rPr>
                <w:rFonts w:ascii="宋体" w:hAnsi="宋体"/>
                <w:color w:val="auto"/>
                <w:sz w:val="21"/>
                <w:szCs w:val="21"/>
                <w:highlight w:val="none"/>
              </w:rPr>
              <w:t>.0分；</w:t>
            </w:r>
          </w:p>
        </w:tc>
      </w:tr>
      <w:tr w14:paraId="061B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tcPr>
          <w:p w14:paraId="636C1B89">
            <w:pPr>
              <w:pStyle w:val="5"/>
              <w:spacing w:line="288" w:lineRule="auto"/>
              <w:jc w:val="center"/>
              <w:rPr>
                <w:rFonts w:hAnsi="宋体"/>
                <w:color w:val="auto"/>
                <w:szCs w:val="21"/>
                <w:highlight w:val="none"/>
              </w:rPr>
            </w:pPr>
          </w:p>
        </w:tc>
        <w:tc>
          <w:tcPr>
            <w:tcW w:w="741" w:type="dxa"/>
            <w:vMerge w:val="continue"/>
          </w:tcPr>
          <w:p w14:paraId="2A492ABD">
            <w:pPr>
              <w:pStyle w:val="5"/>
              <w:spacing w:line="288" w:lineRule="auto"/>
              <w:jc w:val="center"/>
              <w:rPr>
                <w:rFonts w:hAnsi="宋体"/>
                <w:color w:val="auto"/>
                <w:szCs w:val="21"/>
                <w:highlight w:val="none"/>
              </w:rPr>
            </w:pPr>
          </w:p>
        </w:tc>
        <w:tc>
          <w:tcPr>
            <w:tcW w:w="831" w:type="dxa"/>
            <w:vMerge w:val="continue"/>
          </w:tcPr>
          <w:p w14:paraId="3592AC09">
            <w:pPr>
              <w:pStyle w:val="5"/>
              <w:spacing w:line="288" w:lineRule="auto"/>
              <w:jc w:val="center"/>
              <w:rPr>
                <w:rFonts w:hAnsi="宋体"/>
                <w:color w:val="auto"/>
                <w:szCs w:val="21"/>
                <w:highlight w:val="none"/>
              </w:rPr>
            </w:pPr>
          </w:p>
        </w:tc>
        <w:tc>
          <w:tcPr>
            <w:tcW w:w="1209" w:type="dxa"/>
            <w:vMerge w:val="continue"/>
          </w:tcPr>
          <w:p w14:paraId="19480B61">
            <w:pPr>
              <w:pStyle w:val="5"/>
              <w:spacing w:line="288" w:lineRule="auto"/>
              <w:jc w:val="center"/>
              <w:rPr>
                <w:rFonts w:hAnsi="宋体"/>
                <w:color w:val="auto"/>
                <w:szCs w:val="21"/>
                <w:highlight w:val="none"/>
              </w:rPr>
            </w:pPr>
          </w:p>
        </w:tc>
        <w:tc>
          <w:tcPr>
            <w:tcW w:w="634" w:type="dxa"/>
            <w:vMerge w:val="continue"/>
            <w:vAlign w:val="center"/>
          </w:tcPr>
          <w:p w14:paraId="40C8FCC2">
            <w:pPr>
              <w:pStyle w:val="5"/>
              <w:spacing w:line="288" w:lineRule="auto"/>
              <w:jc w:val="center"/>
              <w:rPr>
                <w:rFonts w:hAnsi="宋体"/>
                <w:color w:val="auto"/>
                <w:szCs w:val="21"/>
                <w:highlight w:val="none"/>
              </w:rPr>
            </w:pPr>
          </w:p>
        </w:tc>
        <w:tc>
          <w:tcPr>
            <w:tcW w:w="5793" w:type="dxa"/>
            <w:vAlign w:val="center"/>
          </w:tcPr>
          <w:p w14:paraId="04EFAF18">
            <w:pPr>
              <w:spacing w:line="288" w:lineRule="auto"/>
              <w:jc w:val="left"/>
              <w:rPr>
                <w:rFonts w:ascii="宋体" w:hAnsi="宋体"/>
                <w:color w:val="auto"/>
                <w:kern w:val="2"/>
                <w:sz w:val="21"/>
                <w:szCs w:val="21"/>
                <w:highlight w:val="none"/>
              </w:rPr>
            </w:pPr>
            <w:r>
              <w:rPr>
                <w:rFonts w:hint="eastAsia" w:ascii="宋体" w:hAnsi="宋体"/>
                <w:color w:val="auto"/>
                <w:sz w:val="21"/>
                <w:szCs w:val="21"/>
                <w:highlight w:val="none"/>
              </w:rPr>
              <w:t>内容较齐全，方法较合理，可实施性较好，得</w:t>
            </w:r>
            <w:r>
              <w:rPr>
                <w:rFonts w:hint="eastAsia" w:ascii="宋体" w:hAnsi="宋体"/>
                <w:color w:val="auto"/>
                <w:sz w:val="21"/>
                <w:szCs w:val="21"/>
                <w:highlight w:val="none"/>
                <w:lang w:val="en-US" w:eastAsia="zh-CN"/>
              </w:rPr>
              <w:t>12</w:t>
            </w:r>
            <w:r>
              <w:rPr>
                <w:rFonts w:ascii="宋体" w:hAnsi="宋体"/>
                <w:color w:val="auto"/>
                <w:sz w:val="21"/>
                <w:szCs w:val="21"/>
                <w:highlight w:val="none"/>
              </w:rPr>
              <w:t>.1－</w:t>
            </w:r>
            <w:r>
              <w:rPr>
                <w:rFonts w:hint="eastAsia" w:ascii="宋体" w:hAnsi="宋体"/>
                <w:color w:val="auto"/>
                <w:sz w:val="21"/>
                <w:szCs w:val="21"/>
                <w:highlight w:val="none"/>
                <w:lang w:val="en-US" w:eastAsia="zh-CN"/>
              </w:rPr>
              <w:t>16</w:t>
            </w:r>
            <w:r>
              <w:rPr>
                <w:rFonts w:ascii="宋体" w:hAnsi="宋体"/>
                <w:color w:val="auto"/>
                <w:sz w:val="21"/>
                <w:szCs w:val="21"/>
                <w:highlight w:val="none"/>
              </w:rPr>
              <w:t>.0分；</w:t>
            </w:r>
          </w:p>
        </w:tc>
      </w:tr>
      <w:tr w14:paraId="0FE82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41" w:type="dxa"/>
            <w:vMerge w:val="continue"/>
          </w:tcPr>
          <w:p w14:paraId="10E2CB8A">
            <w:pPr>
              <w:pStyle w:val="5"/>
              <w:spacing w:line="288" w:lineRule="auto"/>
              <w:jc w:val="center"/>
              <w:rPr>
                <w:rFonts w:hAnsi="宋体"/>
                <w:color w:val="auto"/>
                <w:szCs w:val="21"/>
                <w:highlight w:val="none"/>
              </w:rPr>
            </w:pPr>
          </w:p>
        </w:tc>
        <w:tc>
          <w:tcPr>
            <w:tcW w:w="741" w:type="dxa"/>
            <w:vMerge w:val="continue"/>
          </w:tcPr>
          <w:p w14:paraId="58A71A2C">
            <w:pPr>
              <w:pStyle w:val="5"/>
              <w:spacing w:line="288" w:lineRule="auto"/>
              <w:jc w:val="center"/>
              <w:rPr>
                <w:rFonts w:hAnsi="宋体"/>
                <w:color w:val="auto"/>
                <w:szCs w:val="21"/>
                <w:highlight w:val="none"/>
              </w:rPr>
            </w:pPr>
          </w:p>
        </w:tc>
        <w:tc>
          <w:tcPr>
            <w:tcW w:w="831" w:type="dxa"/>
            <w:vMerge w:val="continue"/>
          </w:tcPr>
          <w:p w14:paraId="5834F52B">
            <w:pPr>
              <w:pStyle w:val="5"/>
              <w:spacing w:line="288" w:lineRule="auto"/>
              <w:jc w:val="center"/>
              <w:rPr>
                <w:rFonts w:hAnsi="宋体"/>
                <w:color w:val="auto"/>
                <w:szCs w:val="21"/>
                <w:highlight w:val="none"/>
              </w:rPr>
            </w:pPr>
          </w:p>
        </w:tc>
        <w:tc>
          <w:tcPr>
            <w:tcW w:w="1209" w:type="dxa"/>
            <w:vMerge w:val="continue"/>
          </w:tcPr>
          <w:p w14:paraId="19F8605B">
            <w:pPr>
              <w:pStyle w:val="5"/>
              <w:spacing w:line="288" w:lineRule="auto"/>
              <w:jc w:val="center"/>
              <w:rPr>
                <w:rFonts w:hAnsi="宋体"/>
                <w:color w:val="auto"/>
                <w:szCs w:val="21"/>
                <w:highlight w:val="none"/>
              </w:rPr>
            </w:pPr>
          </w:p>
        </w:tc>
        <w:tc>
          <w:tcPr>
            <w:tcW w:w="634" w:type="dxa"/>
            <w:vMerge w:val="continue"/>
            <w:vAlign w:val="center"/>
          </w:tcPr>
          <w:p w14:paraId="1735E459">
            <w:pPr>
              <w:pStyle w:val="5"/>
              <w:spacing w:line="288" w:lineRule="auto"/>
              <w:jc w:val="center"/>
              <w:rPr>
                <w:rFonts w:hAnsi="宋体"/>
                <w:color w:val="auto"/>
                <w:szCs w:val="21"/>
                <w:highlight w:val="none"/>
              </w:rPr>
            </w:pPr>
          </w:p>
        </w:tc>
        <w:tc>
          <w:tcPr>
            <w:tcW w:w="5793" w:type="dxa"/>
            <w:vAlign w:val="center"/>
          </w:tcPr>
          <w:p w14:paraId="7020B3D3">
            <w:pPr>
              <w:spacing w:line="288" w:lineRule="auto"/>
              <w:jc w:val="left"/>
              <w:rPr>
                <w:rFonts w:ascii="宋体" w:hAnsi="宋体"/>
                <w:color w:val="auto"/>
                <w:kern w:val="2"/>
                <w:sz w:val="21"/>
                <w:szCs w:val="21"/>
                <w:highlight w:val="none"/>
              </w:rPr>
            </w:pPr>
            <w:r>
              <w:rPr>
                <w:rFonts w:hint="eastAsia" w:ascii="宋体" w:hAnsi="宋体"/>
                <w:color w:val="auto"/>
                <w:sz w:val="21"/>
                <w:szCs w:val="21"/>
                <w:highlight w:val="none"/>
              </w:rPr>
              <w:t>内容齐全，方法合理、正确，可实施性强，得</w:t>
            </w:r>
            <w:r>
              <w:rPr>
                <w:rFonts w:hint="eastAsia" w:ascii="宋体" w:hAnsi="宋体"/>
                <w:color w:val="auto"/>
                <w:sz w:val="21"/>
                <w:szCs w:val="21"/>
                <w:highlight w:val="none"/>
                <w:lang w:val="en-US" w:eastAsia="zh-CN"/>
              </w:rPr>
              <w:t>16</w:t>
            </w:r>
            <w:r>
              <w:rPr>
                <w:rFonts w:ascii="宋体" w:hAnsi="宋体"/>
                <w:color w:val="auto"/>
                <w:sz w:val="21"/>
                <w:szCs w:val="21"/>
                <w:highlight w:val="none"/>
              </w:rPr>
              <w:t>.1－</w:t>
            </w:r>
            <w:r>
              <w:rPr>
                <w:rFonts w:hint="eastAsia" w:ascii="宋体" w:hAnsi="宋体"/>
                <w:color w:val="auto"/>
                <w:sz w:val="21"/>
                <w:szCs w:val="21"/>
                <w:highlight w:val="none"/>
                <w:lang w:val="en-US" w:eastAsia="zh-CN"/>
              </w:rPr>
              <w:t>20</w:t>
            </w:r>
            <w:r>
              <w:rPr>
                <w:rFonts w:ascii="宋体" w:hAnsi="宋体"/>
                <w:color w:val="auto"/>
                <w:sz w:val="21"/>
                <w:szCs w:val="21"/>
                <w:highlight w:val="none"/>
              </w:rPr>
              <w:t>分；</w:t>
            </w:r>
          </w:p>
        </w:tc>
      </w:tr>
      <w:tr w14:paraId="153B9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1" w:type="dxa"/>
            <w:vMerge w:val="continue"/>
            <w:vAlign w:val="center"/>
          </w:tcPr>
          <w:p w14:paraId="00FBE7F3">
            <w:pPr>
              <w:pStyle w:val="5"/>
              <w:spacing w:line="288" w:lineRule="auto"/>
              <w:jc w:val="center"/>
              <w:rPr>
                <w:rFonts w:hAnsi="宋体"/>
                <w:color w:val="auto"/>
                <w:szCs w:val="21"/>
                <w:highlight w:val="none"/>
              </w:rPr>
            </w:pPr>
          </w:p>
        </w:tc>
        <w:tc>
          <w:tcPr>
            <w:tcW w:w="741" w:type="dxa"/>
            <w:vMerge w:val="continue"/>
          </w:tcPr>
          <w:p w14:paraId="7845A04B">
            <w:pPr>
              <w:pStyle w:val="5"/>
              <w:spacing w:line="288" w:lineRule="auto"/>
              <w:jc w:val="center"/>
              <w:rPr>
                <w:rFonts w:hAnsi="宋体"/>
                <w:color w:val="auto"/>
                <w:szCs w:val="21"/>
                <w:highlight w:val="none"/>
              </w:rPr>
            </w:pPr>
          </w:p>
        </w:tc>
        <w:tc>
          <w:tcPr>
            <w:tcW w:w="831" w:type="dxa"/>
            <w:vMerge w:val="continue"/>
            <w:vAlign w:val="center"/>
          </w:tcPr>
          <w:p w14:paraId="0F6390A5">
            <w:pPr>
              <w:pStyle w:val="5"/>
              <w:spacing w:line="288" w:lineRule="auto"/>
              <w:jc w:val="center"/>
              <w:rPr>
                <w:rFonts w:hAnsi="宋体"/>
                <w:color w:val="auto"/>
                <w:szCs w:val="21"/>
                <w:highlight w:val="none"/>
              </w:rPr>
            </w:pPr>
          </w:p>
        </w:tc>
        <w:tc>
          <w:tcPr>
            <w:tcW w:w="1209" w:type="dxa"/>
            <w:vMerge w:val="restart"/>
            <w:vAlign w:val="center"/>
          </w:tcPr>
          <w:p w14:paraId="6A595663">
            <w:pPr>
              <w:pStyle w:val="5"/>
              <w:spacing w:line="288" w:lineRule="auto"/>
              <w:jc w:val="center"/>
              <w:rPr>
                <w:rFonts w:hAnsi="宋体"/>
                <w:color w:val="auto"/>
                <w:szCs w:val="21"/>
                <w:highlight w:val="none"/>
              </w:rPr>
            </w:pPr>
            <w:r>
              <w:rPr>
                <w:rFonts w:hint="eastAsia" w:hAnsi="宋体"/>
                <w:color w:val="auto"/>
                <w:szCs w:val="21"/>
                <w:highlight w:val="none"/>
              </w:rPr>
              <w:t>工作计划安排</w:t>
            </w:r>
          </w:p>
        </w:tc>
        <w:tc>
          <w:tcPr>
            <w:tcW w:w="634" w:type="dxa"/>
            <w:vMerge w:val="restart"/>
            <w:vAlign w:val="center"/>
          </w:tcPr>
          <w:p w14:paraId="4127D98A">
            <w:pPr>
              <w:pStyle w:val="5"/>
              <w:spacing w:line="288" w:lineRule="auto"/>
              <w:jc w:val="center"/>
              <w:rPr>
                <w:rFonts w:hAnsi="宋体"/>
                <w:color w:val="auto"/>
                <w:szCs w:val="21"/>
                <w:highlight w:val="none"/>
              </w:rPr>
            </w:pPr>
            <w:r>
              <w:rPr>
                <w:rFonts w:hint="eastAsia" w:hAnsi="宋体"/>
                <w:color w:val="auto"/>
                <w:szCs w:val="21"/>
                <w:highlight w:val="none"/>
                <w:lang w:val="en-US" w:eastAsia="zh-CN"/>
              </w:rPr>
              <w:t>10</w:t>
            </w:r>
            <w:r>
              <w:rPr>
                <w:rFonts w:hint="eastAsia" w:hAnsi="宋体"/>
                <w:color w:val="auto"/>
                <w:szCs w:val="21"/>
                <w:highlight w:val="none"/>
              </w:rPr>
              <w:t>分</w:t>
            </w:r>
          </w:p>
        </w:tc>
        <w:tc>
          <w:tcPr>
            <w:tcW w:w="5793" w:type="dxa"/>
            <w:vAlign w:val="center"/>
          </w:tcPr>
          <w:p w14:paraId="346673AB">
            <w:pPr>
              <w:adjustRightInd w:val="0"/>
              <w:snapToGrid w:val="0"/>
              <w:spacing w:line="288" w:lineRule="auto"/>
              <w:rPr>
                <w:rFonts w:ascii="宋体" w:hAnsi="宋体"/>
                <w:color w:val="auto"/>
                <w:sz w:val="21"/>
                <w:szCs w:val="21"/>
                <w:highlight w:val="none"/>
              </w:rPr>
            </w:pPr>
            <w:r>
              <w:rPr>
                <w:rFonts w:hint="eastAsia" w:ascii="宋体" w:hAnsi="宋体"/>
                <w:color w:val="auto"/>
                <w:sz w:val="21"/>
                <w:szCs w:val="21"/>
                <w:highlight w:val="none"/>
              </w:rPr>
              <w:t>工作计划基本合理，得</w:t>
            </w:r>
            <w:r>
              <w:rPr>
                <w:rFonts w:hint="eastAsia" w:ascii="宋体" w:hAnsi="宋体"/>
                <w:color w:val="auto"/>
                <w:sz w:val="21"/>
                <w:szCs w:val="21"/>
                <w:highlight w:val="none"/>
                <w:lang w:val="en-US" w:eastAsia="zh-CN"/>
              </w:rPr>
              <w:t>6.0</w:t>
            </w:r>
            <w:r>
              <w:rPr>
                <w:rFonts w:hint="eastAsia" w:ascii="宋体" w:hAnsi="宋体"/>
                <w:color w:val="auto"/>
                <w:sz w:val="21"/>
                <w:szCs w:val="21"/>
                <w:highlight w:val="none"/>
              </w:rPr>
              <w:t>分；</w:t>
            </w:r>
          </w:p>
        </w:tc>
      </w:tr>
      <w:tr w14:paraId="76EC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1" w:type="dxa"/>
            <w:vMerge w:val="continue"/>
          </w:tcPr>
          <w:p w14:paraId="757B18B4">
            <w:pPr>
              <w:pStyle w:val="5"/>
              <w:spacing w:line="288" w:lineRule="auto"/>
              <w:rPr>
                <w:rFonts w:hAnsi="宋体"/>
                <w:color w:val="auto"/>
                <w:szCs w:val="21"/>
                <w:highlight w:val="none"/>
              </w:rPr>
            </w:pPr>
          </w:p>
        </w:tc>
        <w:tc>
          <w:tcPr>
            <w:tcW w:w="741" w:type="dxa"/>
            <w:vMerge w:val="continue"/>
          </w:tcPr>
          <w:p w14:paraId="1A4B497C">
            <w:pPr>
              <w:pStyle w:val="5"/>
              <w:spacing w:line="288" w:lineRule="auto"/>
              <w:jc w:val="center"/>
              <w:rPr>
                <w:rFonts w:hAnsi="宋体"/>
                <w:color w:val="auto"/>
                <w:szCs w:val="21"/>
                <w:highlight w:val="none"/>
              </w:rPr>
            </w:pPr>
          </w:p>
        </w:tc>
        <w:tc>
          <w:tcPr>
            <w:tcW w:w="831" w:type="dxa"/>
            <w:vMerge w:val="continue"/>
          </w:tcPr>
          <w:p w14:paraId="09E95C5E">
            <w:pPr>
              <w:pStyle w:val="5"/>
              <w:spacing w:line="288" w:lineRule="auto"/>
              <w:jc w:val="center"/>
              <w:rPr>
                <w:rFonts w:hAnsi="宋体"/>
                <w:color w:val="auto"/>
                <w:szCs w:val="21"/>
                <w:highlight w:val="none"/>
              </w:rPr>
            </w:pPr>
          </w:p>
        </w:tc>
        <w:tc>
          <w:tcPr>
            <w:tcW w:w="1209" w:type="dxa"/>
            <w:vMerge w:val="continue"/>
          </w:tcPr>
          <w:p w14:paraId="61360D6F">
            <w:pPr>
              <w:pStyle w:val="5"/>
              <w:spacing w:line="288" w:lineRule="auto"/>
              <w:jc w:val="center"/>
              <w:rPr>
                <w:rFonts w:hAnsi="宋体"/>
                <w:color w:val="auto"/>
                <w:szCs w:val="21"/>
                <w:highlight w:val="none"/>
              </w:rPr>
            </w:pPr>
          </w:p>
        </w:tc>
        <w:tc>
          <w:tcPr>
            <w:tcW w:w="634" w:type="dxa"/>
            <w:vMerge w:val="continue"/>
            <w:vAlign w:val="center"/>
          </w:tcPr>
          <w:p w14:paraId="0D8285C8">
            <w:pPr>
              <w:pStyle w:val="5"/>
              <w:spacing w:line="288" w:lineRule="auto"/>
              <w:jc w:val="center"/>
              <w:rPr>
                <w:rFonts w:hAnsi="宋体"/>
                <w:color w:val="auto"/>
                <w:szCs w:val="21"/>
                <w:highlight w:val="none"/>
              </w:rPr>
            </w:pPr>
          </w:p>
        </w:tc>
        <w:tc>
          <w:tcPr>
            <w:tcW w:w="5793" w:type="dxa"/>
            <w:vAlign w:val="center"/>
          </w:tcPr>
          <w:p w14:paraId="1CBC1E36">
            <w:pPr>
              <w:pStyle w:val="5"/>
              <w:spacing w:line="288" w:lineRule="auto"/>
              <w:jc w:val="left"/>
              <w:rPr>
                <w:rFonts w:hAnsi="宋体"/>
                <w:color w:val="auto"/>
                <w:szCs w:val="21"/>
                <w:highlight w:val="none"/>
              </w:rPr>
            </w:pPr>
            <w:r>
              <w:rPr>
                <w:rFonts w:hint="eastAsia" w:hAnsi="宋体"/>
                <w:color w:val="auto"/>
                <w:szCs w:val="21"/>
                <w:highlight w:val="none"/>
              </w:rPr>
              <w:t>工作计划</w:t>
            </w:r>
            <w:r>
              <w:rPr>
                <w:rFonts w:hint="eastAsia" w:hAnsi="宋体"/>
                <w:color w:val="auto"/>
                <w:szCs w:val="21"/>
                <w:highlight w:val="none"/>
                <w:lang w:val="en-US" w:eastAsia="zh-CN"/>
              </w:rPr>
              <w:t>较</w:t>
            </w:r>
            <w:r>
              <w:rPr>
                <w:rFonts w:hint="eastAsia" w:hAnsi="宋体"/>
                <w:color w:val="auto"/>
                <w:szCs w:val="21"/>
                <w:highlight w:val="none"/>
              </w:rPr>
              <w:t>合理，得</w:t>
            </w:r>
            <w:r>
              <w:rPr>
                <w:rFonts w:hint="eastAsia" w:hAnsi="宋体"/>
                <w:color w:val="auto"/>
                <w:szCs w:val="21"/>
                <w:highlight w:val="none"/>
                <w:lang w:val="en-US" w:eastAsia="zh-CN"/>
              </w:rPr>
              <w:t>6.1-8.0</w:t>
            </w:r>
            <w:r>
              <w:rPr>
                <w:rFonts w:hint="eastAsia" w:hAnsi="宋体"/>
                <w:color w:val="auto"/>
                <w:szCs w:val="21"/>
                <w:highlight w:val="none"/>
              </w:rPr>
              <w:t>分；</w:t>
            </w:r>
          </w:p>
        </w:tc>
      </w:tr>
      <w:tr w14:paraId="258A5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1" w:type="dxa"/>
            <w:vMerge w:val="continue"/>
          </w:tcPr>
          <w:p w14:paraId="044DBF1C">
            <w:pPr>
              <w:pStyle w:val="5"/>
              <w:spacing w:line="288" w:lineRule="auto"/>
              <w:rPr>
                <w:rFonts w:hAnsi="宋体"/>
                <w:color w:val="auto"/>
                <w:szCs w:val="21"/>
                <w:highlight w:val="none"/>
              </w:rPr>
            </w:pPr>
          </w:p>
        </w:tc>
        <w:tc>
          <w:tcPr>
            <w:tcW w:w="741" w:type="dxa"/>
            <w:vMerge w:val="continue"/>
          </w:tcPr>
          <w:p w14:paraId="640CB17E">
            <w:pPr>
              <w:pStyle w:val="5"/>
              <w:spacing w:line="288" w:lineRule="auto"/>
              <w:jc w:val="center"/>
              <w:rPr>
                <w:rFonts w:hAnsi="宋体"/>
                <w:color w:val="auto"/>
                <w:szCs w:val="21"/>
                <w:highlight w:val="none"/>
              </w:rPr>
            </w:pPr>
          </w:p>
        </w:tc>
        <w:tc>
          <w:tcPr>
            <w:tcW w:w="831" w:type="dxa"/>
            <w:vMerge w:val="continue"/>
          </w:tcPr>
          <w:p w14:paraId="729A260E">
            <w:pPr>
              <w:pStyle w:val="5"/>
              <w:spacing w:line="288" w:lineRule="auto"/>
              <w:jc w:val="center"/>
              <w:rPr>
                <w:rFonts w:hAnsi="宋体"/>
                <w:color w:val="auto"/>
                <w:szCs w:val="21"/>
                <w:highlight w:val="none"/>
              </w:rPr>
            </w:pPr>
          </w:p>
        </w:tc>
        <w:tc>
          <w:tcPr>
            <w:tcW w:w="1209" w:type="dxa"/>
            <w:vMerge w:val="continue"/>
          </w:tcPr>
          <w:p w14:paraId="0BA446A2">
            <w:pPr>
              <w:pStyle w:val="5"/>
              <w:spacing w:line="288" w:lineRule="auto"/>
              <w:jc w:val="center"/>
              <w:rPr>
                <w:rFonts w:hAnsi="宋体"/>
                <w:color w:val="auto"/>
                <w:szCs w:val="21"/>
                <w:highlight w:val="none"/>
              </w:rPr>
            </w:pPr>
          </w:p>
        </w:tc>
        <w:tc>
          <w:tcPr>
            <w:tcW w:w="634" w:type="dxa"/>
            <w:vMerge w:val="continue"/>
            <w:vAlign w:val="center"/>
          </w:tcPr>
          <w:p w14:paraId="79D91E15">
            <w:pPr>
              <w:pStyle w:val="5"/>
              <w:spacing w:line="288" w:lineRule="auto"/>
              <w:jc w:val="center"/>
              <w:rPr>
                <w:rFonts w:hAnsi="宋体"/>
                <w:color w:val="auto"/>
                <w:szCs w:val="21"/>
                <w:highlight w:val="none"/>
              </w:rPr>
            </w:pPr>
          </w:p>
        </w:tc>
        <w:tc>
          <w:tcPr>
            <w:tcW w:w="5793" w:type="dxa"/>
            <w:vAlign w:val="center"/>
          </w:tcPr>
          <w:p w14:paraId="3D88F750">
            <w:pPr>
              <w:pStyle w:val="5"/>
              <w:spacing w:line="288" w:lineRule="auto"/>
              <w:jc w:val="left"/>
              <w:rPr>
                <w:rFonts w:hAnsi="宋体"/>
                <w:color w:val="auto"/>
                <w:szCs w:val="21"/>
                <w:highlight w:val="none"/>
              </w:rPr>
            </w:pPr>
            <w:r>
              <w:rPr>
                <w:rFonts w:hint="eastAsia" w:hAnsi="宋体"/>
                <w:color w:val="auto"/>
                <w:szCs w:val="21"/>
                <w:highlight w:val="none"/>
              </w:rPr>
              <w:t>工作计划科学，安排周密，得</w:t>
            </w:r>
            <w:r>
              <w:rPr>
                <w:rFonts w:hint="eastAsia" w:hAnsi="宋体"/>
                <w:color w:val="auto"/>
                <w:szCs w:val="21"/>
                <w:highlight w:val="none"/>
                <w:lang w:val="en-US" w:eastAsia="zh-CN"/>
              </w:rPr>
              <w:t>8.1</w:t>
            </w:r>
            <w:r>
              <w:rPr>
                <w:rFonts w:hint="eastAsia" w:hAnsi="宋体"/>
                <w:color w:val="auto"/>
                <w:szCs w:val="21"/>
                <w:highlight w:val="none"/>
              </w:rPr>
              <w:t>－</w:t>
            </w:r>
            <w:r>
              <w:rPr>
                <w:rFonts w:hint="eastAsia" w:hAnsi="宋体"/>
                <w:color w:val="auto"/>
                <w:szCs w:val="21"/>
                <w:highlight w:val="none"/>
                <w:lang w:val="en-US" w:eastAsia="zh-CN"/>
              </w:rPr>
              <w:t>10</w:t>
            </w:r>
            <w:r>
              <w:rPr>
                <w:rFonts w:hint="eastAsia" w:hAnsi="宋体"/>
                <w:color w:val="auto"/>
                <w:szCs w:val="21"/>
                <w:highlight w:val="none"/>
              </w:rPr>
              <w:t>分；</w:t>
            </w:r>
          </w:p>
        </w:tc>
      </w:tr>
      <w:tr w14:paraId="41EA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Merge w:val="restart"/>
            <w:tcBorders>
              <w:top w:val="single" w:color="auto" w:sz="4" w:space="0"/>
              <w:left w:val="single" w:color="auto" w:sz="4" w:space="0"/>
              <w:right w:val="single" w:color="auto" w:sz="4" w:space="0"/>
            </w:tcBorders>
            <w:vAlign w:val="center"/>
          </w:tcPr>
          <w:p w14:paraId="491172D2">
            <w:pPr>
              <w:pStyle w:val="5"/>
              <w:spacing w:line="288" w:lineRule="auto"/>
              <w:jc w:val="center"/>
              <w:rPr>
                <w:rFonts w:hAnsi="宋体"/>
                <w:color w:val="auto"/>
                <w:szCs w:val="21"/>
                <w:highlight w:val="none"/>
              </w:rPr>
            </w:pPr>
            <w:r>
              <w:rPr>
                <w:rFonts w:hint="eastAsia" w:hAnsi="宋体"/>
                <w:color w:val="auto"/>
                <w:szCs w:val="21"/>
                <w:highlight w:val="none"/>
              </w:rPr>
              <w:t>2.2.4（2）</w:t>
            </w:r>
          </w:p>
        </w:tc>
        <w:tc>
          <w:tcPr>
            <w:tcW w:w="741" w:type="dxa"/>
            <w:vMerge w:val="restart"/>
            <w:tcBorders>
              <w:top w:val="single" w:color="auto" w:sz="4" w:space="0"/>
              <w:left w:val="single" w:color="auto" w:sz="4" w:space="0"/>
              <w:right w:val="single" w:color="auto" w:sz="4" w:space="0"/>
            </w:tcBorders>
            <w:vAlign w:val="center"/>
          </w:tcPr>
          <w:p w14:paraId="6203BFBD">
            <w:pPr>
              <w:pStyle w:val="5"/>
              <w:spacing w:line="288" w:lineRule="auto"/>
              <w:jc w:val="center"/>
              <w:rPr>
                <w:rFonts w:hint="eastAsia" w:hAnsi="宋体"/>
                <w:color w:val="auto"/>
                <w:szCs w:val="21"/>
                <w:highlight w:val="none"/>
              </w:rPr>
            </w:pPr>
            <w:r>
              <w:rPr>
                <w:rFonts w:hint="eastAsia" w:hAnsi="宋体"/>
                <w:color w:val="auto"/>
                <w:kern w:val="0"/>
                <w:sz w:val="21"/>
                <w:szCs w:val="21"/>
                <w:highlight w:val="none"/>
                <w:lang w:val="en-US" w:eastAsia="zh-CN"/>
              </w:rPr>
              <w:t>主要人员</w:t>
            </w:r>
          </w:p>
        </w:tc>
        <w:tc>
          <w:tcPr>
            <w:tcW w:w="831" w:type="dxa"/>
            <w:vMerge w:val="restart"/>
            <w:tcBorders>
              <w:top w:val="single" w:color="auto" w:sz="4" w:space="0"/>
              <w:left w:val="single" w:color="auto" w:sz="4" w:space="0"/>
              <w:right w:val="single" w:color="auto" w:sz="4" w:space="0"/>
            </w:tcBorders>
            <w:vAlign w:val="center"/>
          </w:tcPr>
          <w:p w14:paraId="2B1B7C36">
            <w:pPr>
              <w:pStyle w:val="5"/>
              <w:spacing w:line="288" w:lineRule="auto"/>
              <w:jc w:val="center"/>
              <w:rPr>
                <w:rFonts w:hint="eastAsia" w:hAnsi="宋体"/>
                <w:color w:val="auto"/>
                <w:szCs w:val="21"/>
                <w:highlight w:val="none"/>
                <w:lang w:val="en-US" w:eastAsia="zh-CN"/>
              </w:rPr>
            </w:pPr>
            <w:r>
              <w:rPr>
                <w:rFonts w:hint="eastAsia" w:hAnsi="宋体"/>
                <w:color w:val="auto"/>
                <w:szCs w:val="21"/>
                <w:highlight w:val="none"/>
                <w:lang w:val="en-US" w:eastAsia="zh-CN"/>
              </w:rPr>
              <w:t>20分</w:t>
            </w:r>
          </w:p>
        </w:tc>
        <w:tc>
          <w:tcPr>
            <w:tcW w:w="1209" w:type="dxa"/>
            <w:tcBorders>
              <w:top w:val="single" w:color="auto" w:sz="4" w:space="0"/>
              <w:left w:val="single" w:color="auto" w:sz="4" w:space="0"/>
              <w:right w:val="single" w:color="auto" w:sz="4" w:space="0"/>
            </w:tcBorders>
            <w:vAlign w:val="center"/>
          </w:tcPr>
          <w:p w14:paraId="266223CC">
            <w:pPr>
              <w:pStyle w:val="5"/>
              <w:spacing w:line="288" w:lineRule="auto"/>
              <w:jc w:val="center"/>
              <w:rPr>
                <w:rFonts w:hint="eastAsia"/>
                <w:color w:val="auto"/>
                <w:szCs w:val="21"/>
                <w:highlight w:val="none"/>
              </w:rPr>
            </w:pPr>
            <w:r>
              <w:rPr>
                <w:rFonts w:cs="Times New Roman"/>
                <w:color w:val="auto"/>
                <w:szCs w:val="21"/>
                <w:highlight w:val="none"/>
              </w:rPr>
              <w:t>项目负责人</w:t>
            </w:r>
            <w:r>
              <w:rPr>
                <w:color w:val="auto"/>
                <w:szCs w:val="21"/>
                <w:highlight w:val="none"/>
              </w:rPr>
              <w:t>任职资格与业绩</w:t>
            </w:r>
          </w:p>
        </w:tc>
        <w:tc>
          <w:tcPr>
            <w:tcW w:w="634" w:type="dxa"/>
            <w:tcBorders>
              <w:top w:val="single" w:color="auto" w:sz="4" w:space="0"/>
              <w:left w:val="single" w:color="auto" w:sz="4" w:space="0"/>
              <w:right w:val="single" w:color="auto" w:sz="4" w:space="0"/>
            </w:tcBorders>
            <w:vAlign w:val="center"/>
          </w:tcPr>
          <w:p w14:paraId="4EBD274D">
            <w:pPr>
              <w:pStyle w:val="5"/>
              <w:spacing w:line="288" w:lineRule="auto"/>
              <w:jc w:val="center"/>
              <w:rPr>
                <w:color w:val="auto"/>
                <w:szCs w:val="21"/>
                <w:highlight w:val="none"/>
              </w:rPr>
            </w:pPr>
            <w:r>
              <w:rPr>
                <w:rFonts w:hint="eastAsia" w:hAnsi="宋体"/>
                <w:color w:val="auto"/>
                <w:szCs w:val="21"/>
                <w:highlight w:val="none"/>
                <w:lang w:val="en-US" w:eastAsia="zh-CN"/>
              </w:rPr>
              <w:t>14</w:t>
            </w:r>
            <w:r>
              <w:rPr>
                <w:rFonts w:hint="eastAsia" w:hAnsi="宋体"/>
                <w:color w:val="auto"/>
                <w:szCs w:val="21"/>
                <w:highlight w:val="none"/>
              </w:rPr>
              <w:t>分</w:t>
            </w:r>
          </w:p>
        </w:tc>
        <w:tc>
          <w:tcPr>
            <w:tcW w:w="5793" w:type="dxa"/>
            <w:tcBorders>
              <w:top w:val="single" w:color="auto" w:sz="4" w:space="0"/>
              <w:left w:val="single" w:color="auto" w:sz="4" w:space="0"/>
              <w:bottom w:val="single" w:color="auto" w:sz="4" w:space="0"/>
              <w:right w:val="single" w:color="auto" w:sz="4" w:space="0"/>
            </w:tcBorders>
            <w:vAlign w:val="center"/>
          </w:tcPr>
          <w:p w14:paraId="2B185481">
            <w:pPr>
              <w:spacing w:line="288" w:lineRule="auto"/>
              <w:ind w:firstLine="420" w:firstLineChars="200"/>
              <w:jc w:val="left"/>
              <w:rPr>
                <w:rFonts w:hint="eastAsia" w:ascii="宋体" w:hAnsi="宋体" w:eastAsia="宋体"/>
                <w:color w:val="auto"/>
                <w:sz w:val="21"/>
                <w:szCs w:val="21"/>
                <w:highlight w:val="none"/>
                <w:lang w:eastAsia="zh-CN"/>
              </w:rPr>
            </w:pPr>
            <w:r>
              <w:rPr>
                <w:rFonts w:hint="eastAsia" w:ascii="宋体" w:hAnsi="宋体"/>
                <w:color w:val="auto"/>
                <w:kern w:val="28"/>
                <w:sz w:val="21"/>
                <w:szCs w:val="21"/>
                <w:highlight w:val="none"/>
                <w:lang w:val="en-US" w:eastAsia="zh-CN"/>
              </w:rPr>
              <w:t>项目负责人近三年（2021年07月01日至今，以合同签订时间为准）每</w:t>
            </w:r>
            <w:r>
              <w:rPr>
                <w:rFonts w:hint="eastAsia" w:ascii="宋体" w:hAnsi="宋体"/>
                <w:color w:val="auto"/>
                <w:sz w:val="21"/>
                <w:szCs w:val="21"/>
                <w:highlight w:val="none"/>
              </w:rPr>
              <w:t>担任过</w:t>
            </w:r>
            <w:r>
              <w:rPr>
                <w:rFonts w:hint="eastAsia" w:ascii="宋体" w:hAnsi="宋体"/>
                <w:color w:val="auto"/>
                <w:sz w:val="21"/>
                <w:szCs w:val="21"/>
                <w:highlight w:val="none"/>
                <w:lang w:val="en-US" w:eastAsia="zh-CN"/>
              </w:rPr>
              <w:t>一项</w:t>
            </w:r>
            <w:r>
              <w:rPr>
                <w:rFonts w:hint="eastAsia" w:ascii="宋体" w:hAnsi="宋体"/>
                <w:color w:val="auto"/>
                <w:sz w:val="21"/>
                <w:szCs w:val="21"/>
                <w:highlight w:val="none"/>
              </w:rPr>
              <w:t>不低于500万</w:t>
            </w:r>
            <w:r>
              <w:rPr>
                <w:rFonts w:hint="eastAsia" w:ascii="宋体" w:hAnsi="宋体"/>
                <w:color w:val="auto"/>
                <w:sz w:val="21"/>
                <w:szCs w:val="21"/>
                <w:highlight w:val="none"/>
                <w:lang w:val="en-US" w:eastAsia="zh-CN"/>
              </w:rPr>
              <w:t>元</w:t>
            </w:r>
            <w:r>
              <w:rPr>
                <w:rFonts w:hint="eastAsia" w:ascii="宋体" w:hAnsi="宋体"/>
                <w:color w:val="auto"/>
                <w:sz w:val="21"/>
                <w:szCs w:val="21"/>
                <w:highlight w:val="none"/>
              </w:rPr>
              <w:t>石油</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或</w:t>
            </w:r>
            <w:r>
              <w:rPr>
                <w:rFonts w:hint="eastAsia" w:ascii="宋体" w:hAnsi="宋体"/>
                <w:color w:val="auto"/>
                <w:sz w:val="21"/>
                <w:szCs w:val="21"/>
                <w:highlight w:val="none"/>
              </w:rPr>
              <w:t>化工</w:t>
            </w:r>
            <w:r>
              <w:rPr>
                <w:rFonts w:hint="eastAsia" w:ascii="宋体" w:hAnsi="宋体"/>
                <w:color w:val="auto"/>
                <w:sz w:val="21"/>
                <w:szCs w:val="21"/>
                <w:highlight w:val="none"/>
                <w:lang w:val="en-US" w:eastAsia="zh-CN"/>
              </w:rPr>
              <w:t>或</w:t>
            </w:r>
            <w:r>
              <w:rPr>
                <w:rFonts w:hint="eastAsia" w:ascii="宋体" w:hAnsi="宋体"/>
                <w:color w:val="auto"/>
                <w:sz w:val="21"/>
                <w:szCs w:val="21"/>
                <w:highlight w:val="none"/>
              </w:rPr>
              <w:t>天然气</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等</w:t>
            </w:r>
            <w:r>
              <w:rPr>
                <w:rFonts w:hint="eastAsia" w:ascii="宋体" w:hAnsi="宋体"/>
                <w:color w:val="auto"/>
                <w:sz w:val="21"/>
                <w:szCs w:val="21"/>
                <w:highlight w:val="none"/>
              </w:rPr>
              <w:t>领域数字化平台相关业绩（需包括数字化交付</w:t>
            </w:r>
            <w:r>
              <w:rPr>
                <w:rFonts w:hint="eastAsia" w:ascii="宋体" w:hAnsi="宋体"/>
                <w:color w:val="auto"/>
                <w:sz w:val="21"/>
                <w:szCs w:val="21"/>
                <w:highlight w:val="none"/>
                <w:lang w:val="en-US" w:eastAsia="zh-CN"/>
              </w:rPr>
              <w:t>或</w:t>
            </w:r>
            <w:r>
              <w:rPr>
                <w:rFonts w:hint="eastAsia" w:ascii="宋体" w:hAnsi="宋体"/>
                <w:color w:val="auto"/>
                <w:sz w:val="21"/>
                <w:szCs w:val="21"/>
                <w:highlight w:val="none"/>
              </w:rPr>
              <w:t>工程项目管理）得</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分，</w:t>
            </w:r>
            <w:r>
              <w:rPr>
                <w:rFonts w:hint="eastAsia" w:ascii="宋体" w:hAnsi="宋体"/>
                <w:color w:val="auto"/>
                <w:sz w:val="21"/>
                <w:szCs w:val="21"/>
                <w:highlight w:val="none"/>
                <w:lang w:val="en-US" w:eastAsia="zh-CN"/>
              </w:rPr>
              <w:t>本评审项最高</w:t>
            </w:r>
            <w:r>
              <w:rPr>
                <w:rFonts w:hint="eastAsia" w:ascii="宋体" w:hAnsi="宋体"/>
                <w:color w:val="auto"/>
                <w:sz w:val="21"/>
                <w:szCs w:val="21"/>
                <w:highlight w:val="none"/>
              </w:rPr>
              <w:t>得</w:t>
            </w:r>
            <w:r>
              <w:rPr>
                <w:rFonts w:hint="eastAsia" w:ascii="宋体" w:hAnsi="宋体"/>
                <w:color w:val="auto"/>
                <w:sz w:val="21"/>
                <w:szCs w:val="21"/>
                <w:highlight w:val="none"/>
                <w:lang w:val="en-US" w:eastAsia="zh-CN"/>
              </w:rPr>
              <w:t>14</w:t>
            </w:r>
            <w:r>
              <w:rPr>
                <w:rFonts w:hint="eastAsia" w:ascii="宋体" w:hAnsi="宋体"/>
                <w:color w:val="auto"/>
                <w:sz w:val="21"/>
                <w:szCs w:val="21"/>
                <w:highlight w:val="none"/>
              </w:rPr>
              <w:t>分</w:t>
            </w:r>
            <w:r>
              <w:rPr>
                <w:rFonts w:hint="eastAsia" w:ascii="宋体" w:hAnsi="宋体"/>
                <w:color w:val="auto"/>
                <w:sz w:val="21"/>
                <w:szCs w:val="21"/>
                <w:highlight w:val="none"/>
                <w:lang w:eastAsia="zh-CN"/>
              </w:rPr>
              <w:t>；</w:t>
            </w:r>
          </w:p>
          <w:p w14:paraId="691A2BA6">
            <w:pPr>
              <w:pStyle w:val="4"/>
              <w:ind w:firstLine="420" w:firstLineChars="200"/>
              <w:rPr>
                <w:rFonts w:hint="default" w:eastAsia="宋体"/>
                <w:color w:val="auto"/>
                <w:highlight w:val="none"/>
                <w:lang w:val="en-US" w:eastAsia="zh-CN"/>
              </w:rPr>
            </w:pPr>
            <w:r>
              <w:rPr>
                <w:rFonts w:hint="eastAsia" w:ascii="宋体" w:hAnsi="宋体"/>
                <w:color w:val="auto"/>
                <w:sz w:val="21"/>
                <w:szCs w:val="21"/>
                <w:highlight w:val="none"/>
                <w:lang w:val="en-US" w:eastAsia="zh-CN"/>
              </w:rPr>
              <w:t>类似业绩以合同原件扫描件为准。</w:t>
            </w:r>
          </w:p>
        </w:tc>
      </w:tr>
      <w:tr w14:paraId="0FA7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41" w:type="dxa"/>
            <w:vMerge w:val="continue"/>
            <w:tcBorders>
              <w:left w:val="single" w:color="auto" w:sz="4" w:space="0"/>
              <w:right w:val="single" w:color="auto" w:sz="4" w:space="0"/>
            </w:tcBorders>
            <w:vAlign w:val="center"/>
          </w:tcPr>
          <w:p w14:paraId="33EF6C3A">
            <w:pPr>
              <w:pStyle w:val="5"/>
              <w:spacing w:line="288" w:lineRule="auto"/>
              <w:jc w:val="center"/>
              <w:rPr>
                <w:rFonts w:hint="eastAsia" w:hAnsi="宋体"/>
                <w:color w:val="auto"/>
                <w:szCs w:val="21"/>
                <w:highlight w:val="none"/>
              </w:rPr>
            </w:pPr>
          </w:p>
        </w:tc>
        <w:tc>
          <w:tcPr>
            <w:tcW w:w="741" w:type="dxa"/>
            <w:vMerge w:val="continue"/>
            <w:tcBorders>
              <w:left w:val="single" w:color="auto" w:sz="4" w:space="0"/>
              <w:right w:val="single" w:color="auto" w:sz="4" w:space="0"/>
            </w:tcBorders>
            <w:vAlign w:val="center"/>
          </w:tcPr>
          <w:p w14:paraId="1C06C066">
            <w:pPr>
              <w:pStyle w:val="5"/>
              <w:spacing w:line="288" w:lineRule="auto"/>
              <w:jc w:val="center"/>
              <w:rPr>
                <w:rFonts w:hint="eastAsia" w:ascii="宋体" w:hAnsi="宋体"/>
                <w:color w:val="auto"/>
                <w:kern w:val="0"/>
                <w:sz w:val="21"/>
                <w:szCs w:val="21"/>
                <w:highlight w:val="none"/>
                <w:lang w:val="en-US" w:eastAsia="zh-CN"/>
              </w:rPr>
            </w:pPr>
          </w:p>
        </w:tc>
        <w:tc>
          <w:tcPr>
            <w:tcW w:w="831" w:type="dxa"/>
            <w:vMerge w:val="continue"/>
            <w:tcBorders>
              <w:left w:val="single" w:color="auto" w:sz="4" w:space="0"/>
              <w:right w:val="single" w:color="auto" w:sz="4" w:space="0"/>
            </w:tcBorders>
            <w:vAlign w:val="center"/>
          </w:tcPr>
          <w:p w14:paraId="29E61FF4">
            <w:pPr>
              <w:pStyle w:val="5"/>
              <w:spacing w:line="288" w:lineRule="auto"/>
              <w:jc w:val="center"/>
              <w:rPr>
                <w:rFonts w:hint="default" w:hAnsi="宋体" w:eastAsia="宋体"/>
                <w:color w:val="auto"/>
                <w:szCs w:val="21"/>
                <w:highlight w:val="none"/>
                <w:lang w:val="en-US" w:eastAsia="zh-CN"/>
              </w:rPr>
            </w:pPr>
          </w:p>
        </w:tc>
        <w:tc>
          <w:tcPr>
            <w:tcW w:w="1209" w:type="dxa"/>
            <w:tcBorders>
              <w:top w:val="single" w:color="auto" w:sz="4" w:space="0"/>
              <w:left w:val="single" w:color="auto" w:sz="4" w:space="0"/>
              <w:right w:val="single" w:color="auto" w:sz="4" w:space="0"/>
            </w:tcBorders>
            <w:vAlign w:val="center"/>
          </w:tcPr>
          <w:p w14:paraId="7670D534">
            <w:pPr>
              <w:pStyle w:val="5"/>
              <w:spacing w:line="288" w:lineRule="auto"/>
              <w:jc w:val="center"/>
              <w:rPr>
                <w:rFonts w:hint="eastAsia"/>
                <w:color w:val="auto"/>
                <w:szCs w:val="21"/>
                <w:highlight w:val="none"/>
                <w:lang w:val="en-US" w:eastAsia="zh-CN"/>
              </w:rPr>
            </w:pPr>
            <w:r>
              <w:rPr>
                <w:rFonts w:hint="eastAsia"/>
                <w:color w:val="auto"/>
                <w:szCs w:val="21"/>
                <w:highlight w:val="none"/>
                <w:lang w:val="en-US" w:eastAsia="zh-CN"/>
              </w:rPr>
              <w:t>项目组</w:t>
            </w:r>
          </w:p>
          <w:p w14:paraId="73B4C5DE">
            <w:pPr>
              <w:pStyle w:val="5"/>
              <w:spacing w:line="288" w:lineRule="auto"/>
              <w:jc w:val="center"/>
              <w:rPr>
                <w:rFonts w:hint="default" w:eastAsia="宋体"/>
                <w:color w:val="auto"/>
                <w:szCs w:val="21"/>
                <w:highlight w:val="none"/>
                <w:lang w:val="en-US" w:eastAsia="zh-CN"/>
              </w:rPr>
            </w:pPr>
            <w:r>
              <w:rPr>
                <w:rFonts w:hint="eastAsia"/>
                <w:color w:val="auto"/>
                <w:szCs w:val="21"/>
                <w:highlight w:val="none"/>
                <w:lang w:val="en-US" w:eastAsia="zh-CN"/>
              </w:rPr>
              <w:t>其他人员</w:t>
            </w:r>
          </w:p>
        </w:tc>
        <w:tc>
          <w:tcPr>
            <w:tcW w:w="634" w:type="dxa"/>
            <w:tcBorders>
              <w:top w:val="single" w:color="auto" w:sz="4" w:space="0"/>
              <w:left w:val="single" w:color="auto" w:sz="4" w:space="0"/>
              <w:right w:val="single" w:color="auto" w:sz="4" w:space="0"/>
            </w:tcBorders>
            <w:vAlign w:val="center"/>
          </w:tcPr>
          <w:p w14:paraId="0057BDB0">
            <w:pPr>
              <w:pStyle w:val="5"/>
              <w:spacing w:line="288" w:lineRule="auto"/>
              <w:jc w:val="center"/>
              <w:rPr>
                <w:rFonts w:hint="eastAsia"/>
                <w:color w:val="auto"/>
                <w:szCs w:val="21"/>
                <w:highlight w:val="none"/>
                <w:lang w:val="en-US" w:eastAsia="zh-CN"/>
              </w:rPr>
            </w:pPr>
            <w:r>
              <w:rPr>
                <w:rFonts w:hint="eastAsia" w:hAnsi="宋体"/>
                <w:color w:val="auto"/>
                <w:szCs w:val="21"/>
                <w:highlight w:val="none"/>
                <w:lang w:val="en-US" w:eastAsia="zh-CN"/>
              </w:rPr>
              <w:t>6分</w:t>
            </w:r>
          </w:p>
        </w:tc>
        <w:tc>
          <w:tcPr>
            <w:tcW w:w="5793" w:type="dxa"/>
            <w:tcBorders>
              <w:top w:val="single" w:color="auto" w:sz="4" w:space="0"/>
              <w:left w:val="single" w:color="auto" w:sz="4" w:space="0"/>
              <w:bottom w:val="single" w:color="auto" w:sz="4" w:space="0"/>
              <w:right w:val="single" w:color="auto" w:sz="4" w:space="0"/>
            </w:tcBorders>
            <w:vAlign w:val="center"/>
          </w:tcPr>
          <w:p w14:paraId="3B319AE8">
            <w:pPr>
              <w:pStyle w:val="4"/>
              <w:spacing w:line="288" w:lineRule="auto"/>
              <w:ind w:firstLine="420" w:firstLineChars="200"/>
              <w:rPr>
                <w:rFonts w:hint="eastAsia" w:ascii="宋体" w:hAnsi="宋体"/>
                <w:color w:val="auto"/>
                <w:sz w:val="21"/>
                <w:szCs w:val="21"/>
                <w:highlight w:val="none"/>
                <w:lang w:eastAsia="zh-CN"/>
              </w:rPr>
            </w:pPr>
            <w:r>
              <w:rPr>
                <w:rFonts w:hint="eastAsia" w:ascii="宋体" w:hAnsi="宋体"/>
                <w:color w:val="auto"/>
                <w:sz w:val="21"/>
                <w:szCs w:val="21"/>
                <w:highlight w:val="none"/>
                <w:lang w:val="en-US" w:eastAsia="zh-CN"/>
              </w:rPr>
              <w:t>除项目负责人外，项目团队核心人员每有一人具有工业与信息化人才大数据管理师证书（中级及以上）或BIM建模技术证书或高级信息系统项目管理师的，得2分，本评审项最高</w:t>
            </w:r>
            <w:r>
              <w:rPr>
                <w:rFonts w:hint="eastAsia" w:ascii="宋体" w:hAnsi="宋体"/>
                <w:color w:val="auto"/>
                <w:sz w:val="21"/>
                <w:szCs w:val="21"/>
                <w:highlight w:val="none"/>
              </w:rPr>
              <w:t>得</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分</w:t>
            </w:r>
            <w:r>
              <w:rPr>
                <w:rFonts w:hint="eastAsia" w:ascii="宋体" w:hAnsi="宋体"/>
                <w:color w:val="auto"/>
                <w:sz w:val="21"/>
                <w:szCs w:val="21"/>
                <w:highlight w:val="none"/>
                <w:lang w:eastAsia="zh-CN"/>
              </w:rPr>
              <w:t>；</w:t>
            </w:r>
          </w:p>
          <w:p w14:paraId="2EE21B2C">
            <w:pPr>
              <w:pStyle w:val="4"/>
              <w:spacing w:line="288" w:lineRule="auto"/>
              <w:ind w:firstLine="420" w:firstLineChars="200"/>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以相关证书原件扫描件为准，同一人员不重复计分。</w:t>
            </w:r>
          </w:p>
        </w:tc>
      </w:tr>
      <w:tr w14:paraId="3AEFB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41" w:type="dxa"/>
            <w:vMerge w:val="restart"/>
            <w:tcBorders>
              <w:top w:val="single" w:color="auto" w:sz="4" w:space="0"/>
              <w:left w:val="single" w:color="auto" w:sz="4" w:space="0"/>
              <w:right w:val="single" w:color="auto" w:sz="4" w:space="0"/>
            </w:tcBorders>
            <w:vAlign w:val="center"/>
          </w:tcPr>
          <w:p w14:paraId="56A3DBB2">
            <w:pPr>
              <w:pStyle w:val="5"/>
              <w:spacing w:line="288" w:lineRule="auto"/>
              <w:jc w:val="center"/>
              <w:rPr>
                <w:rFonts w:hAnsi="宋体"/>
                <w:color w:val="auto"/>
                <w:szCs w:val="21"/>
                <w:highlight w:val="none"/>
              </w:rPr>
            </w:pPr>
            <w:r>
              <w:rPr>
                <w:rFonts w:hAnsi="宋体"/>
                <w:color w:val="auto"/>
                <w:szCs w:val="21"/>
                <w:highlight w:val="none"/>
              </w:rPr>
              <w:t>2.2.4（2）</w:t>
            </w:r>
          </w:p>
        </w:tc>
        <w:tc>
          <w:tcPr>
            <w:tcW w:w="741" w:type="dxa"/>
            <w:vMerge w:val="restart"/>
            <w:tcBorders>
              <w:top w:val="single" w:color="auto" w:sz="4" w:space="0"/>
              <w:left w:val="single" w:color="auto" w:sz="4" w:space="0"/>
              <w:right w:val="single" w:color="auto" w:sz="4" w:space="0"/>
            </w:tcBorders>
            <w:vAlign w:val="center"/>
          </w:tcPr>
          <w:p w14:paraId="03E9D713">
            <w:pPr>
              <w:pStyle w:val="5"/>
              <w:spacing w:line="288" w:lineRule="auto"/>
              <w:jc w:val="center"/>
              <w:rPr>
                <w:rFonts w:hint="default" w:hAnsi="宋体" w:eastAsia="宋体"/>
                <w:color w:val="auto"/>
                <w:szCs w:val="21"/>
                <w:highlight w:val="none"/>
                <w:lang w:val="en-US" w:eastAsia="zh-CN"/>
              </w:rPr>
            </w:pPr>
            <w:r>
              <w:rPr>
                <w:rFonts w:hint="eastAsia" w:hAnsi="宋体"/>
                <w:color w:val="auto"/>
                <w:szCs w:val="21"/>
                <w:highlight w:val="none"/>
                <w:lang w:val="en-US" w:eastAsia="zh-CN"/>
              </w:rPr>
              <w:t>其他因素</w:t>
            </w:r>
          </w:p>
        </w:tc>
        <w:tc>
          <w:tcPr>
            <w:tcW w:w="831" w:type="dxa"/>
            <w:vMerge w:val="restart"/>
            <w:tcBorders>
              <w:top w:val="single" w:color="auto" w:sz="4" w:space="0"/>
              <w:left w:val="single" w:color="auto" w:sz="4" w:space="0"/>
              <w:right w:val="single" w:color="auto" w:sz="4" w:space="0"/>
            </w:tcBorders>
            <w:vAlign w:val="center"/>
          </w:tcPr>
          <w:p w14:paraId="5CF576C4">
            <w:pPr>
              <w:pStyle w:val="5"/>
              <w:spacing w:line="288" w:lineRule="auto"/>
              <w:jc w:val="center"/>
              <w:rPr>
                <w:rFonts w:hAnsi="宋体"/>
                <w:color w:val="auto"/>
                <w:szCs w:val="21"/>
                <w:highlight w:val="none"/>
              </w:rPr>
            </w:pPr>
            <w:r>
              <w:rPr>
                <w:rFonts w:hint="eastAsia" w:hAnsi="宋体"/>
                <w:color w:val="auto"/>
                <w:szCs w:val="21"/>
                <w:highlight w:val="none"/>
                <w:lang w:val="en-US" w:eastAsia="zh-CN"/>
              </w:rPr>
              <w:t>2</w:t>
            </w:r>
            <w:r>
              <w:rPr>
                <w:rFonts w:hint="eastAsia" w:hAnsi="宋体"/>
                <w:color w:val="auto"/>
                <w:szCs w:val="21"/>
                <w:highlight w:val="none"/>
              </w:rPr>
              <w:t>0分</w:t>
            </w:r>
          </w:p>
        </w:tc>
        <w:tc>
          <w:tcPr>
            <w:tcW w:w="1843" w:type="dxa"/>
            <w:gridSpan w:val="2"/>
            <w:tcBorders>
              <w:top w:val="single" w:color="auto" w:sz="4" w:space="0"/>
              <w:left w:val="single" w:color="auto" w:sz="4" w:space="0"/>
              <w:right w:val="single" w:color="auto" w:sz="4" w:space="0"/>
            </w:tcBorders>
            <w:vAlign w:val="center"/>
          </w:tcPr>
          <w:p w14:paraId="5E520A8C">
            <w:pPr>
              <w:pStyle w:val="5"/>
              <w:spacing w:line="288" w:lineRule="auto"/>
              <w:jc w:val="center"/>
              <w:rPr>
                <w:rFonts w:hint="eastAsia"/>
                <w:color w:val="auto"/>
                <w:szCs w:val="21"/>
                <w:highlight w:val="none"/>
                <w:lang w:val="en-US" w:eastAsia="zh-CN"/>
              </w:rPr>
            </w:pPr>
            <w:r>
              <w:rPr>
                <w:rFonts w:hint="eastAsia"/>
                <w:color w:val="auto"/>
                <w:szCs w:val="21"/>
                <w:highlight w:val="none"/>
                <w:lang w:val="en-US" w:eastAsia="zh-CN"/>
              </w:rPr>
              <w:t>企业业绩</w:t>
            </w:r>
          </w:p>
          <w:p w14:paraId="135455D9">
            <w:pPr>
              <w:pStyle w:val="5"/>
              <w:spacing w:line="288" w:lineRule="auto"/>
              <w:jc w:val="center"/>
              <w:rPr>
                <w:rFonts w:hint="eastAsia" w:eastAsia="宋体"/>
                <w:color w:val="auto"/>
                <w:szCs w:val="21"/>
                <w:highlight w:val="none"/>
                <w:lang w:eastAsia="zh-CN"/>
              </w:rPr>
            </w:pPr>
            <w:r>
              <w:rPr>
                <w:rFonts w:hint="eastAsia"/>
                <w:color w:val="auto"/>
                <w:szCs w:val="21"/>
                <w:highlight w:val="none"/>
                <w:lang w:val="en-US" w:eastAsia="zh-CN"/>
              </w:rPr>
              <w:t>（10分）</w:t>
            </w:r>
          </w:p>
        </w:tc>
        <w:tc>
          <w:tcPr>
            <w:tcW w:w="5793" w:type="dxa"/>
            <w:tcBorders>
              <w:top w:val="single" w:color="auto" w:sz="4" w:space="0"/>
              <w:left w:val="single" w:color="auto" w:sz="4" w:space="0"/>
              <w:bottom w:val="single" w:color="auto" w:sz="4" w:space="0"/>
              <w:right w:val="single" w:color="auto" w:sz="4" w:space="0"/>
            </w:tcBorders>
            <w:vAlign w:val="center"/>
          </w:tcPr>
          <w:p w14:paraId="4A7BD550">
            <w:pPr>
              <w:spacing w:line="288"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lang w:val="en-US" w:eastAsia="zh-CN"/>
              </w:rPr>
              <w:t>满足资格审查条件得6分；</w:t>
            </w:r>
            <w:r>
              <w:rPr>
                <w:rFonts w:hint="eastAsia" w:ascii="宋体" w:hAnsi="宋体"/>
                <w:color w:val="auto"/>
                <w:sz w:val="21"/>
                <w:szCs w:val="21"/>
                <w:highlight w:val="none"/>
              </w:rPr>
              <w:t>近三年</w:t>
            </w:r>
            <w:r>
              <w:rPr>
                <w:rFonts w:hint="eastAsia" w:ascii="宋体" w:hAnsi="宋体"/>
                <w:color w:val="auto"/>
                <w:kern w:val="28"/>
                <w:sz w:val="21"/>
                <w:szCs w:val="21"/>
                <w:highlight w:val="none"/>
                <w:lang w:val="en-US" w:eastAsia="zh-CN"/>
              </w:rPr>
              <w:t>（2021年07月01日至今，以合同签订时间为准）</w:t>
            </w:r>
            <w:r>
              <w:rPr>
                <w:rFonts w:hint="eastAsia" w:ascii="宋体" w:hAnsi="宋体"/>
                <w:color w:val="auto"/>
                <w:sz w:val="21"/>
                <w:szCs w:val="21"/>
                <w:highlight w:val="none"/>
              </w:rPr>
              <w:t>每提供</w:t>
            </w:r>
            <w:r>
              <w:rPr>
                <w:rFonts w:hint="eastAsia" w:ascii="宋体" w:hAnsi="宋体"/>
                <w:color w:val="auto"/>
                <w:sz w:val="21"/>
                <w:szCs w:val="21"/>
                <w:highlight w:val="none"/>
                <w:lang w:val="en-US" w:eastAsia="zh-CN"/>
              </w:rPr>
              <w:t>一项</w:t>
            </w:r>
            <w:r>
              <w:rPr>
                <w:rFonts w:hint="eastAsia" w:ascii="宋体" w:hAnsi="宋体"/>
                <w:color w:val="auto"/>
                <w:sz w:val="21"/>
                <w:szCs w:val="21"/>
                <w:highlight w:val="none"/>
              </w:rPr>
              <w:t>合同额</w:t>
            </w:r>
            <w:r>
              <w:rPr>
                <w:rFonts w:hint="eastAsia" w:ascii="宋体" w:hAnsi="宋体"/>
                <w:color w:val="auto"/>
                <w:sz w:val="21"/>
                <w:szCs w:val="21"/>
                <w:highlight w:val="none"/>
                <w:lang w:val="en-US" w:eastAsia="zh-CN"/>
              </w:rPr>
              <w:t>不低于</w:t>
            </w:r>
            <w:r>
              <w:rPr>
                <w:rFonts w:hint="eastAsia" w:ascii="宋体" w:hAnsi="宋体"/>
                <w:color w:val="auto"/>
                <w:sz w:val="21"/>
                <w:szCs w:val="21"/>
                <w:highlight w:val="none"/>
              </w:rPr>
              <w:t>500万元石油</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或</w:t>
            </w:r>
            <w:r>
              <w:rPr>
                <w:rFonts w:hint="eastAsia" w:ascii="宋体" w:hAnsi="宋体"/>
                <w:color w:val="auto"/>
                <w:sz w:val="21"/>
                <w:szCs w:val="21"/>
                <w:highlight w:val="none"/>
              </w:rPr>
              <w:t>化工</w:t>
            </w:r>
            <w:r>
              <w:rPr>
                <w:rFonts w:hint="eastAsia" w:ascii="宋体" w:hAnsi="宋体"/>
                <w:color w:val="auto"/>
                <w:sz w:val="21"/>
                <w:szCs w:val="21"/>
                <w:highlight w:val="none"/>
                <w:lang w:val="en-US" w:eastAsia="zh-CN"/>
              </w:rPr>
              <w:t>或</w:t>
            </w:r>
            <w:r>
              <w:rPr>
                <w:rFonts w:hint="eastAsia" w:ascii="宋体" w:hAnsi="宋体"/>
                <w:color w:val="auto"/>
                <w:sz w:val="21"/>
                <w:szCs w:val="21"/>
                <w:highlight w:val="none"/>
              </w:rPr>
              <w:t>天然气</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等</w:t>
            </w:r>
            <w:r>
              <w:rPr>
                <w:rFonts w:hint="eastAsia" w:ascii="宋体" w:hAnsi="宋体"/>
                <w:color w:val="auto"/>
                <w:sz w:val="21"/>
                <w:szCs w:val="21"/>
                <w:highlight w:val="none"/>
              </w:rPr>
              <w:t>领域数字化平台相关业绩（需包括数字化交付</w:t>
            </w:r>
            <w:r>
              <w:rPr>
                <w:rFonts w:hint="eastAsia" w:ascii="宋体" w:hAnsi="宋体"/>
                <w:color w:val="auto"/>
                <w:sz w:val="21"/>
                <w:szCs w:val="21"/>
                <w:highlight w:val="none"/>
                <w:lang w:val="en-US" w:eastAsia="zh-CN"/>
              </w:rPr>
              <w:t>或</w:t>
            </w:r>
            <w:r>
              <w:rPr>
                <w:rFonts w:hint="eastAsia" w:ascii="宋体" w:hAnsi="宋体"/>
                <w:color w:val="auto"/>
                <w:sz w:val="21"/>
                <w:szCs w:val="21"/>
                <w:highlight w:val="none"/>
              </w:rPr>
              <w:t>工程项目管理）得2分，</w:t>
            </w:r>
            <w:r>
              <w:rPr>
                <w:rFonts w:hint="eastAsia" w:ascii="宋体" w:hAnsi="宋体"/>
                <w:color w:val="auto"/>
                <w:sz w:val="21"/>
                <w:szCs w:val="21"/>
                <w:highlight w:val="none"/>
                <w:lang w:val="en-US" w:eastAsia="zh-CN"/>
              </w:rPr>
              <w:t>本评审项最高</w:t>
            </w:r>
            <w:r>
              <w:rPr>
                <w:rFonts w:hint="eastAsia" w:ascii="宋体" w:hAnsi="宋体"/>
                <w:color w:val="auto"/>
                <w:sz w:val="21"/>
                <w:szCs w:val="21"/>
                <w:highlight w:val="none"/>
              </w:rPr>
              <w:t>得</w:t>
            </w:r>
            <w:r>
              <w:rPr>
                <w:rFonts w:hint="eastAsia" w:ascii="宋体" w:hAnsi="宋体"/>
                <w:color w:val="auto"/>
                <w:sz w:val="21"/>
                <w:szCs w:val="21"/>
                <w:highlight w:val="none"/>
                <w:lang w:val="en-US" w:eastAsia="zh-CN"/>
              </w:rPr>
              <w:t>10</w:t>
            </w:r>
            <w:r>
              <w:rPr>
                <w:rFonts w:hint="eastAsia" w:ascii="宋体" w:hAnsi="宋体"/>
                <w:color w:val="auto"/>
                <w:sz w:val="21"/>
                <w:szCs w:val="21"/>
                <w:highlight w:val="none"/>
              </w:rPr>
              <w:t>分</w:t>
            </w:r>
            <w:r>
              <w:rPr>
                <w:rFonts w:hint="eastAsia" w:ascii="宋体" w:hAnsi="宋体"/>
                <w:color w:val="auto"/>
                <w:sz w:val="21"/>
                <w:szCs w:val="21"/>
                <w:highlight w:val="none"/>
                <w:lang w:eastAsia="zh-CN"/>
              </w:rPr>
              <w:t>；</w:t>
            </w:r>
          </w:p>
          <w:p w14:paraId="789EABD5">
            <w:pPr>
              <w:spacing w:line="288"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lang w:val="en-US" w:eastAsia="zh-CN"/>
              </w:rPr>
              <w:t>类似业绩以合同原件扫描件为准。</w:t>
            </w:r>
          </w:p>
        </w:tc>
      </w:tr>
      <w:tr w14:paraId="75FA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41" w:type="dxa"/>
            <w:vMerge w:val="continue"/>
            <w:tcBorders>
              <w:left w:val="single" w:color="auto" w:sz="4" w:space="0"/>
              <w:right w:val="single" w:color="auto" w:sz="4" w:space="0"/>
            </w:tcBorders>
            <w:vAlign w:val="center"/>
          </w:tcPr>
          <w:p w14:paraId="1E90521F">
            <w:pPr>
              <w:pStyle w:val="5"/>
              <w:spacing w:line="288" w:lineRule="auto"/>
              <w:jc w:val="center"/>
              <w:rPr>
                <w:rFonts w:hAnsi="宋体"/>
                <w:color w:val="auto"/>
                <w:szCs w:val="21"/>
                <w:highlight w:val="none"/>
              </w:rPr>
            </w:pPr>
          </w:p>
        </w:tc>
        <w:tc>
          <w:tcPr>
            <w:tcW w:w="741" w:type="dxa"/>
            <w:vMerge w:val="continue"/>
            <w:tcBorders>
              <w:left w:val="single" w:color="auto" w:sz="4" w:space="0"/>
              <w:right w:val="single" w:color="auto" w:sz="4" w:space="0"/>
            </w:tcBorders>
            <w:vAlign w:val="center"/>
          </w:tcPr>
          <w:p w14:paraId="11D5F6CB">
            <w:pPr>
              <w:pStyle w:val="5"/>
              <w:spacing w:line="288" w:lineRule="auto"/>
              <w:jc w:val="center"/>
              <w:rPr>
                <w:rFonts w:hAnsi="宋体"/>
                <w:color w:val="auto"/>
                <w:szCs w:val="21"/>
                <w:highlight w:val="none"/>
              </w:rPr>
            </w:pPr>
          </w:p>
        </w:tc>
        <w:tc>
          <w:tcPr>
            <w:tcW w:w="831" w:type="dxa"/>
            <w:vMerge w:val="continue"/>
            <w:tcBorders>
              <w:left w:val="single" w:color="auto" w:sz="4" w:space="0"/>
              <w:right w:val="single" w:color="auto" w:sz="4" w:space="0"/>
            </w:tcBorders>
            <w:vAlign w:val="center"/>
          </w:tcPr>
          <w:p w14:paraId="7CFEE6A0">
            <w:pPr>
              <w:pStyle w:val="5"/>
              <w:spacing w:line="288" w:lineRule="auto"/>
              <w:jc w:val="center"/>
              <w:rPr>
                <w:rFonts w:hAnsi="宋体"/>
                <w:color w:val="auto"/>
                <w:szCs w:val="21"/>
                <w:highlight w:val="none"/>
              </w:rPr>
            </w:pPr>
          </w:p>
        </w:tc>
        <w:tc>
          <w:tcPr>
            <w:tcW w:w="1843" w:type="dxa"/>
            <w:gridSpan w:val="2"/>
            <w:vMerge w:val="restart"/>
            <w:tcBorders>
              <w:left w:val="single" w:color="auto" w:sz="4" w:space="0"/>
              <w:right w:val="single" w:color="auto" w:sz="4" w:space="0"/>
            </w:tcBorders>
            <w:vAlign w:val="center"/>
          </w:tcPr>
          <w:p w14:paraId="69F7A24E">
            <w:pPr>
              <w:pStyle w:val="5"/>
              <w:spacing w:line="288" w:lineRule="auto"/>
              <w:jc w:val="center"/>
              <w:rPr>
                <w:rFonts w:hint="eastAsia" w:ascii="宋体" w:hAnsi="宋体"/>
                <w:color w:val="auto"/>
                <w:sz w:val="21"/>
                <w:szCs w:val="21"/>
                <w:highlight w:val="none"/>
              </w:rPr>
            </w:pPr>
            <w:r>
              <w:rPr>
                <w:rFonts w:hint="eastAsia" w:hAnsi="宋体"/>
                <w:color w:val="auto"/>
                <w:sz w:val="21"/>
                <w:szCs w:val="21"/>
                <w:highlight w:val="none"/>
                <w:lang w:val="en-US" w:eastAsia="zh-CN"/>
              </w:rPr>
              <w:t>投标人综合</w:t>
            </w:r>
            <w:r>
              <w:rPr>
                <w:rFonts w:hint="eastAsia" w:ascii="宋体" w:hAnsi="宋体"/>
                <w:color w:val="auto"/>
                <w:sz w:val="21"/>
                <w:szCs w:val="21"/>
                <w:highlight w:val="none"/>
              </w:rPr>
              <w:t>能力</w:t>
            </w:r>
          </w:p>
          <w:p w14:paraId="718832A4">
            <w:pPr>
              <w:pStyle w:val="5"/>
              <w:spacing w:line="288" w:lineRule="auto"/>
              <w:jc w:val="center"/>
              <w:rPr>
                <w:rFonts w:hint="eastAsia" w:hAnsi="宋体" w:eastAsia="宋体"/>
                <w:color w:val="auto"/>
                <w:szCs w:val="21"/>
                <w:highlight w:val="none"/>
                <w:lang w:val="en-US" w:eastAsia="zh-CN"/>
              </w:rPr>
            </w:pPr>
            <w:r>
              <w:rPr>
                <w:rFonts w:hint="eastAsia" w:hAnsi="宋体"/>
                <w:color w:val="auto"/>
                <w:sz w:val="21"/>
                <w:szCs w:val="21"/>
                <w:highlight w:val="none"/>
                <w:lang w:eastAsia="zh-CN"/>
              </w:rPr>
              <w:t>（</w:t>
            </w:r>
            <w:r>
              <w:rPr>
                <w:rFonts w:hint="eastAsia" w:hAnsi="宋体"/>
                <w:color w:val="auto"/>
                <w:sz w:val="21"/>
                <w:szCs w:val="21"/>
                <w:highlight w:val="none"/>
                <w:lang w:val="en-US" w:eastAsia="zh-CN"/>
              </w:rPr>
              <w:t>10分</w:t>
            </w:r>
            <w:r>
              <w:rPr>
                <w:rFonts w:hint="eastAsia" w:hAnsi="宋体"/>
                <w:color w:val="auto"/>
                <w:sz w:val="21"/>
                <w:szCs w:val="21"/>
                <w:highlight w:val="none"/>
                <w:lang w:eastAsia="zh-CN"/>
              </w:rPr>
              <w:t>）</w:t>
            </w:r>
          </w:p>
        </w:tc>
        <w:tc>
          <w:tcPr>
            <w:tcW w:w="5793" w:type="dxa"/>
            <w:tcBorders>
              <w:top w:val="single" w:color="auto" w:sz="4" w:space="0"/>
              <w:left w:val="single" w:color="auto" w:sz="4" w:space="0"/>
              <w:bottom w:val="single" w:color="auto" w:sz="4" w:space="0"/>
              <w:right w:val="single" w:color="auto" w:sz="4" w:space="0"/>
            </w:tcBorders>
            <w:vAlign w:val="center"/>
          </w:tcPr>
          <w:p w14:paraId="684D2CB1">
            <w:pPr>
              <w:adjustRightInd w:val="0"/>
              <w:snapToGrid w:val="0"/>
              <w:spacing w:line="288" w:lineRule="auto"/>
              <w:rPr>
                <w:rFonts w:hint="eastAsia" w:ascii="宋体" w:hAnsi="宋体" w:eastAsia="宋体" w:cs="Times New Roman"/>
                <w:color w:val="auto"/>
                <w:kern w:val="28"/>
                <w:sz w:val="21"/>
                <w:szCs w:val="21"/>
                <w:highlight w:val="none"/>
                <w:lang w:val="en-US" w:eastAsia="zh-CN" w:bidi="ar-SA"/>
              </w:rPr>
            </w:pPr>
            <w:r>
              <w:rPr>
                <w:rFonts w:hint="eastAsia" w:ascii="宋体" w:hAnsi="宋体"/>
                <w:color w:val="auto"/>
                <w:sz w:val="21"/>
                <w:szCs w:val="21"/>
                <w:highlight w:val="none"/>
              </w:rPr>
              <w:t>投标人所提供的平台可扩展性强，能根据用户需求灵活配置，要求具有低代码、可配置等特性，并出具由CNAS及CMA资质的测试机构出具的权威官方第三方认证报告及证书，满足条件得</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分，否则不得分；</w:t>
            </w:r>
          </w:p>
        </w:tc>
      </w:tr>
      <w:tr w14:paraId="40CE1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41" w:type="dxa"/>
            <w:vMerge w:val="continue"/>
            <w:tcBorders>
              <w:left w:val="single" w:color="auto" w:sz="4" w:space="0"/>
              <w:right w:val="single" w:color="auto" w:sz="4" w:space="0"/>
            </w:tcBorders>
            <w:vAlign w:val="center"/>
          </w:tcPr>
          <w:p w14:paraId="2802515F">
            <w:pPr>
              <w:pStyle w:val="5"/>
              <w:spacing w:line="288" w:lineRule="auto"/>
              <w:jc w:val="center"/>
              <w:rPr>
                <w:rFonts w:hAnsi="宋体"/>
                <w:color w:val="auto"/>
                <w:szCs w:val="21"/>
                <w:highlight w:val="none"/>
              </w:rPr>
            </w:pPr>
          </w:p>
        </w:tc>
        <w:tc>
          <w:tcPr>
            <w:tcW w:w="741" w:type="dxa"/>
            <w:vMerge w:val="continue"/>
            <w:tcBorders>
              <w:left w:val="single" w:color="auto" w:sz="4" w:space="0"/>
              <w:right w:val="single" w:color="auto" w:sz="4" w:space="0"/>
            </w:tcBorders>
            <w:vAlign w:val="center"/>
          </w:tcPr>
          <w:p w14:paraId="38999BE7">
            <w:pPr>
              <w:pStyle w:val="5"/>
              <w:spacing w:line="288" w:lineRule="auto"/>
              <w:jc w:val="center"/>
              <w:rPr>
                <w:rFonts w:hAnsi="宋体"/>
                <w:color w:val="auto"/>
                <w:szCs w:val="21"/>
                <w:highlight w:val="none"/>
              </w:rPr>
            </w:pPr>
          </w:p>
        </w:tc>
        <w:tc>
          <w:tcPr>
            <w:tcW w:w="831" w:type="dxa"/>
            <w:vMerge w:val="continue"/>
            <w:tcBorders>
              <w:left w:val="single" w:color="auto" w:sz="4" w:space="0"/>
              <w:right w:val="single" w:color="auto" w:sz="4" w:space="0"/>
            </w:tcBorders>
            <w:vAlign w:val="center"/>
          </w:tcPr>
          <w:p w14:paraId="73FA018F">
            <w:pPr>
              <w:pStyle w:val="5"/>
              <w:spacing w:line="288" w:lineRule="auto"/>
              <w:jc w:val="center"/>
              <w:rPr>
                <w:rFonts w:hAnsi="宋体"/>
                <w:color w:val="auto"/>
                <w:szCs w:val="21"/>
                <w:highlight w:val="none"/>
              </w:rPr>
            </w:pPr>
          </w:p>
        </w:tc>
        <w:tc>
          <w:tcPr>
            <w:tcW w:w="1843" w:type="dxa"/>
            <w:gridSpan w:val="2"/>
            <w:vMerge w:val="continue"/>
            <w:tcBorders>
              <w:left w:val="single" w:color="auto" w:sz="4" w:space="0"/>
              <w:right w:val="single" w:color="auto" w:sz="4" w:space="0"/>
            </w:tcBorders>
            <w:vAlign w:val="center"/>
          </w:tcPr>
          <w:p w14:paraId="683D0312">
            <w:pPr>
              <w:pStyle w:val="5"/>
              <w:spacing w:line="288" w:lineRule="auto"/>
              <w:jc w:val="center"/>
              <w:rPr>
                <w:rFonts w:hint="eastAsia" w:hAnsi="宋体"/>
                <w:color w:val="auto"/>
                <w:szCs w:val="21"/>
                <w:highlight w:val="none"/>
                <w:lang w:val="en-US" w:eastAsia="zh-CN"/>
              </w:rPr>
            </w:pPr>
          </w:p>
        </w:tc>
        <w:tc>
          <w:tcPr>
            <w:tcW w:w="5793" w:type="dxa"/>
            <w:tcBorders>
              <w:top w:val="single" w:color="auto" w:sz="4" w:space="0"/>
              <w:left w:val="single" w:color="auto" w:sz="4" w:space="0"/>
              <w:bottom w:val="single" w:color="auto" w:sz="4" w:space="0"/>
              <w:right w:val="single" w:color="auto" w:sz="4" w:space="0"/>
            </w:tcBorders>
            <w:vAlign w:val="center"/>
          </w:tcPr>
          <w:p w14:paraId="44B5D25E">
            <w:pPr>
              <w:pStyle w:val="5"/>
              <w:spacing w:line="288" w:lineRule="auto"/>
              <w:jc w:val="left"/>
              <w:rPr>
                <w:rFonts w:hint="eastAsia" w:ascii="宋体" w:hAnsi="宋体" w:eastAsia="宋体" w:cs="Times New Roman"/>
                <w:color w:val="auto"/>
                <w:kern w:val="2"/>
                <w:sz w:val="21"/>
                <w:szCs w:val="21"/>
                <w:highlight w:val="none"/>
                <w:lang w:val="en-US" w:eastAsia="zh-CN" w:bidi="ar-SA"/>
              </w:rPr>
            </w:pPr>
            <w:r>
              <w:rPr>
                <w:rFonts w:hint="eastAsia" w:hAnsi="宋体"/>
                <w:color w:val="auto"/>
                <w:szCs w:val="21"/>
                <w:highlight w:val="none"/>
              </w:rPr>
              <w:t>投标人所提供的产品必须自主可控且已融入国产信息技术生态和适配，兼容国产数据库、操作系统、GPU、CPU；每一类需至少兼容适配</w:t>
            </w:r>
            <w:r>
              <w:rPr>
                <w:rFonts w:hint="eastAsia" w:hAnsi="宋体"/>
                <w:color w:val="auto"/>
                <w:szCs w:val="21"/>
                <w:highlight w:val="none"/>
                <w:lang w:eastAsia="zh-CN"/>
              </w:rPr>
              <w:t>2</w:t>
            </w:r>
            <w:r>
              <w:rPr>
                <w:rFonts w:hint="eastAsia" w:hAnsi="宋体"/>
                <w:color w:val="auto"/>
                <w:szCs w:val="21"/>
                <w:highlight w:val="none"/>
              </w:rPr>
              <w:t>个及以上不同厂家，需提供相关兼容适配证明材料，全部满足得</w:t>
            </w:r>
            <w:r>
              <w:rPr>
                <w:rFonts w:hint="eastAsia" w:hAnsi="宋体"/>
                <w:color w:val="auto"/>
                <w:szCs w:val="21"/>
                <w:highlight w:val="none"/>
                <w:lang w:val="en-US" w:eastAsia="zh-CN"/>
              </w:rPr>
              <w:t>2</w:t>
            </w:r>
            <w:r>
              <w:rPr>
                <w:rFonts w:hint="eastAsia" w:hAnsi="宋体"/>
                <w:color w:val="auto"/>
                <w:szCs w:val="21"/>
                <w:highlight w:val="none"/>
              </w:rPr>
              <w:t>分，否则不得分</w:t>
            </w:r>
            <w:r>
              <w:rPr>
                <w:rFonts w:hint="eastAsia" w:hAnsi="宋体"/>
                <w:color w:val="auto"/>
                <w:szCs w:val="21"/>
                <w:highlight w:val="none"/>
                <w:lang w:eastAsia="zh-CN"/>
              </w:rPr>
              <w:t>；</w:t>
            </w:r>
          </w:p>
        </w:tc>
      </w:tr>
      <w:tr w14:paraId="2BE75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41" w:type="dxa"/>
            <w:vMerge w:val="continue"/>
            <w:tcBorders>
              <w:left w:val="single" w:color="auto" w:sz="4" w:space="0"/>
              <w:right w:val="single" w:color="auto" w:sz="4" w:space="0"/>
            </w:tcBorders>
            <w:vAlign w:val="center"/>
          </w:tcPr>
          <w:p w14:paraId="6D82B15C">
            <w:pPr>
              <w:pStyle w:val="5"/>
              <w:spacing w:line="288" w:lineRule="auto"/>
              <w:jc w:val="center"/>
              <w:rPr>
                <w:rFonts w:hAnsi="宋体"/>
                <w:color w:val="auto"/>
                <w:szCs w:val="21"/>
                <w:highlight w:val="none"/>
              </w:rPr>
            </w:pPr>
          </w:p>
        </w:tc>
        <w:tc>
          <w:tcPr>
            <w:tcW w:w="741" w:type="dxa"/>
            <w:vMerge w:val="continue"/>
            <w:tcBorders>
              <w:left w:val="single" w:color="auto" w:sz="4" w:space="0"/>
              <w:right w:val="single" w:color="auto" w:sz="4" w:space="0"/>
            </w:tcBorders>
            <w:vAlign w:val="center"/>
          </w:tcPr>
          <w:p w14:paraId="677D0B71">
            <w:pPr>
              <w:pStyle w:val="5"/>
              <w:spacing w:line="288" w:lineRule="auto"/>
              <w:jc w:val="center"/>
              <w:rPr>
                <w:rFonts w:hAnsi="宋体"/>
                <w:color w:val="auto"/>
                <w:szCs w:val="21"/>
                <w:highlight w:val="none"/>
              </w:rPr>
            </w:pPr>
          </w:p>
        </w:tc>
        <w:tc>
          <w:tcPr>
            <w:tcW w:w="831" w:type="dxa"/>
            <w:vMerge w:val="continue"/>
            <w:tcBorders>
              <w:left w:val="single" w:color="auto" w:sz="4" w:space="0"/>
              <w:right w:val="single" w:color="auto" w:sz="4" w:space="0"/>
            </w:tcBorders>
            <w:vAlign w:val="center"/>
          </w:tcPr>
          <w:p w14:paraId="6728CB82">
            <w:pPr>
              <w:pStyle w:val="5"/>
              <w:spacing w:line="288" w:lineRule="auto"/>
              <w:jc w:val="center"/>
              <w:rPr>
                <w:rFonts w:hAnsi="宋体"/>
                <w:color w:val="auto"/>
                <w:szCs w:val="21"/>
                <w:highlight w:val="none"/>
              </w:rPr>
            </w:pPr>
          </w:p>
        </w:tc>
        <w:tc>
          <w:tcPr>
            <w:tcW w:w="1843" w:type="dxa"/>
            <w:gridSpan w:val="2"/>
            <w:vMerge w:val="continue"/>
            <w:tcBorders>
              <w:left w:val="single" w:color="auto" w:sz="4" w:space="0"/>
              <w:right w:val="single" w:color="auto" w:sz="4" w:space="0"/>
            </w:tcBorders>
            <w:vAlign w:val="center"/>
          </w:tcPr>
          <w:p w14:paraId="6C34AD83">
            <w:pPr>
              <w:pStyle w:val="5"/>
              <w:spacing w:line="288" w:lineRule="auto"/>
              <w:jc w:val="center"/>
              <w:rPr>
                <w:rFonts w:hint="eastAsia" w:hAnsi="宋体"/>
                <w:color w:val="auto"/>
                <w:szCs w:val="21"/>
                <w:highlight w:val="none"/>
                <w:lang w:val="en-US" w:eastAsia="zh-CN"/>
              </w:rPr>
            </w:pPr>
          </w:p>
        </w:tc>
        <w:tc>
          <w:tcPr>
            <w:tcW w:w="5793" w:type="dxa"/>
            <w:tcBorders>
              <w:top w:val="single" w:color="auto" w:sz="4" w:space="0"/>
              <w:left w:val="single" w:color="auto" w:sz="4" w:space="0"/>
              <w:bottom w:val="single" w:color="auto" w:sz="4" w:space="0"/>
              <w:right w:val="single" w:color="auto" w:sz="4" w:space="0"/>
            </w:tcBorders>
            <w:vAlign w:val="center"/>
          </w:tcPr>
          <w:p w14:paraId="39493375">
            <w:pPr>
              <w:pStyle w:val="5"/>
              <w:spacing w:line="288" w:lineRule="auto"/>
              <w:jc w:val="left"/>
              <w:rPr>
                <w:rFonts w:hint="eastAsia"/>
                <w:color w:val="auto"/>
                <w:highlight w:val="none"/>
              </w:rPr>
            </w:pPr>
            <w:r>
              <w:rPr>
                <w:rFonts w:hint="eastAsia" w:ascii="宋体" w:hAnsi="宋体"/>
                <w:color w:val="auto"/>
                <w:sz w:val="21"/>
                <w:szCs w:val="21"/>
                <w:highlight w:val="none"/>
              </w:rPr>
              <w:t>投标人须具备数字化交付标准制定的能力，参与编制流程行业国际、国家或行业相关标准≥</w:t>
            </w:r>
            <w:r>
              <w:rPr>
                <w:rFonts w:hint="eastAsia" w:hAnsi="宋体"/>
                <w:color w:val="auto"/>
                <w:sz w:val="21"/>
                <w:szCs w:val="21"/>
                <w:highlight w:val="none"/>
                <w:lang w:val="en-US" w:eastAsia="zh-CN"/>
              </w:rPr>
              <w:t>3</w:t>
            </w:r>
            <w:r>
              <w:rPr>
                <w:rFonts w:hint="eastAsia" w:ascii="宋体" w:hAnsi="宋体"/>
                <w:color w:val="auto"/>
                <w:sz w:val="21"/>
                <w:szCs w:val="21"/>
                <w:highlight w:val="none"/>
              </w:rPr>
              <w:t>项，须提供相关标准的证明材料，满足得</w:t>
            </w:r>
            <w:r>
              <w:rPr>
                <w:rFonts w:hint="eastAsia" w:hAnsi="宋体"/>
                <w:color w:val="auto"/>
                <w:sz w:val="21"/>
                <w:szCs w:val="21"/>
                <w:highlight w:val="none"/>
                <w:lang w:val="en-US" w:eastAsia="zh-CN"/>
              </w:rPr>
              <w:t>2</w:t>
            </w:r>
            <w:r>
              <w:rPr>
                <w:rFonts w:hint="eastAsia" w:ascii="宋体" w:hAnsi="宋体"/>
                <w:color w:val="auto"/>
                <w:sz w:val="21"/>
                <w:szCs w:val="21"/>
                <w:highlight w:val="none"/>
              </w:rPr>
              <w:t>分</w:t>
            </w:r>
            <w:r>
              <w:rPr>
                <w:rFonts w:hint="eastAsia" w:hAnsi="宋体"/>
                <w:color w:val="auto"/>
                <w:szCs w:val="21"/>
                <w:highlight w:val="none"/>
              </w:rPr>
              <w:t>，否则不得分</w:t>
            </w:r>
            <w:r>
              <w:rPr>
                <w:rFonts w:hint="eastAsia" w:hAnsi="宋体"/>
                <w:color w:val="auto"/>
                <w:szCs w:val="21"/>
                <w:highlight w:val="none"/>
                <w:lang w:eastAsia="zh-CN"/>
              </w:rPr>
              <w:t>；</w:t>
            </w:r>
          </w:p>
        </w:tc>
      </w:tr>
      <w:tr w14:paraId="121F1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41" w:type="dxa"/>
            <w:vMerge w:val="continue"/>
            <w:tcBorders>
              <w:left w:val="single" w:color="auto" w:sz="4" w:space="0"/>
              <w:right w:val="single" w:color="auto" w:sz="4" w:space="0"/>
            </w:tcBorders>
            <w:vAlign w:val="center"/>
          </w:tcPr>
          <w:p w14:paraId="6CCD39D3">
            <w:pPr>
              <w:pStyle w:val="5"/>
              <w:spacing w:line="288" w:lineRule="auto"/>
              <w:jc w:val="center"/>
              <w:rPr>
                <w:rFonts w:hAnsi="宋体"/>
                <w:color w:val="auto"/>
                <w:szCs w:val="21"/>
                <w:highlight w:val="none"/>
              </w:rPr>
            </w:pPr>
          </w:p>
        </w:tc>
        <w:tc>
          <w:tcPr>
            <w:tcW w:w="741" w:type="dxa"/>
            <w:vMerge w:val="continue"/>
            <w:tcBorders>
              <w:left w:val="single" w:color="auto" w:sz="4" w:space="0"/>
              <w:right w:val="single" w:color="auto" w:sz="4" w:space="0"/>
            </w:tcBorders>
            <w:vAlign w:val="center"/>
          </w:tcPr>
          <w:p w14:paraId="1A63D1FD">
            <w:pPr>
              <w:pStyle w:val="5"/>
              <w:spacing w:line="288" w:lineRule="auto"/>
              <w:jc w:val="center"/>
              <w:rPr>
                <w:rFonts w:hAnsi="宋体"/>
                <w:color w:val="auto"/>
                <w:szCs w:val="21"/>
                <w:highlight w:val="none"/>
              </w:rPr>
            </w:pPr>
          </w:p>
        </w:tc>
        <w:tc>
          <w:tcPr>
            <w:tcW w:w="831" w:type="dxa"/>
            <w:vMerge w:val="continue"/>
            <w:tcBorders>
              <w:left w:val="single" w:color="auto" w:sz="4" w:space="0"/>
              <w:right w:val="single" w:color="auto" w:sz="4" w:space="0"/>
            </w:tcBorders>
            <w:vAlign w:val="center"/>
          </w:tcPr>
          <w:p w14:paraId="1C005896">
            <w:pPr>
              <w:pStyle w:val="5"/>
              <w:spacing w:line="288" w:lineRule="auto"/>
              <w:jc w:val="center"/>
              <w:rPr>
                <w:rFonts w:hAnsi="宋体"/>
                <w:color w:val="auto"/>
                <w:szCs w:val="21"/>
                <w:highlight w:val="none"/>
              </w:rPr>
            </w:pPr>
          </w:p>
        </w:tc>
        <w:tc>
          <w:tcPr>
            <w:tcW w:w="1843" w:type="dxa"/>
            <w:gridSpan w:val="2"/>
            <w:vMerge w:val="continue"/>
            <w:tcBorders>
              <w:left w:val="single" w:color="auto" w:sz="4" w:space="0"/>
              <w:right w:val="single" w:color="auto" w:sz="4" w:space="0"/>
            </w:tcBorders>
            <w:vAlign w:val="center"/>
          </w:tcPr>
          <w:p w14:paraId="58948BA3">
            <w:pPr>
              <w:pStyle w:val="5"/>
              <w:spacing w:line="288" w:lineRule="auto"/>
              <w:jc w:val="center"/>
              <w:rPr>
                <w:rFonts w:hint="eastAsia" w:hAnsi="宋体"/>
                <w:color w:val="auto"/>
                <w:szCs w:val="21"/>
                <w:highlight w:val="none"/>
                <w:lang w:val="en-US" w:eastAsia="zh-CN"/>
              </w:rPr>
            </w:pPr>
          </w:p>
        </w:tc>
        <w:tc>
          <w:tcPr>
            <w:tcW w:w="5793" w:type="dxa"/>
            <w:tcBorders>
              <w:top w:val="single" w:color="auto" w:sz="4" w:space="0"/>
              <w:left w:val="single" w:color="auto" w:sz="4" w:space="0"/>
              <w:bottom w:val="single" w:color="auto" w:sz="4" w:space="0"/>
              <w:right w:val="single" w:color="auto" w:sz="4" w:space="0"/>
            </w:tcBorders>
            <w:vAlign w:val="center"/>
          </w:tcPr>
          <w:p w14:paraId="2B5668B0">
            <w:pPr>
              <w:pStyle w:val="5"/>
              <w:spacing w:line="288" w:lineRule="auto"/>
              <w:jc w:val="left"/>
              <w:rPr>
                <w:rFonts w:hint="eastAsia" w:ascii="宋体" w:hAnsi="宋体"/>
                <w:color w:val="auto"/>
                <w:sz w:val="21"/>
                <w:szCs w:val="21"/>
                <w:highlight w:val="none"/>
              </w:rPr>
            </w:pPr>
            <w:r>
              <w:rPr>
                <w:rFonts w:hint="eastAsia" w:hAnsi="宋体"/>
                <w:color w:val="auto"/>
                <w:sz w:val="21"/>
                <w:szCs w:val="21"/>
                <w:highlight w:val="none"/>
                <w:lang w:val="en-US" w:eastAsia="zh-CN"/>
              </w:rPr>
              <w:t>具备</w:t>
            </w:r>
            <w:r>
              <w:rPr>
                <w:rFonts w:hint="eastAsia" w:ascii="宋体" w:hAnsi="宋体"/>
                <w:color w:val="auto"/>
                <w:sz w:val="21"/>
                <w:szCs w:val="21"/>
                <w:highlight w:val="none"/>
              </w:rPr>
              <w:t>能力成熟度模型集成</w:t>
            </w:r>
            <w:r>
              <w:rPr>
                <w:rFonts w:hint="eastAsia" w:hAnsi="宋体"/>
                <w:color w:val="auto"/>
                <w:sz w:val="21"/>
                <w:szCs w:val="21"/>
                <w:highlight w:val="none"/>
                <w:lang w:val="en-US" w:eastAsia="zh-CN"/>
              </w:rPr>
              <w:t>具有</w:t>
            </w:r>
            <w:r>
              <w:rPr>
                <w:rFonts w:hint="eastAsia" w:ascii="宋体" w:hAnsi="宋体"/>
                <w:color w:val="auto"/>
                <w:sz w:val="21"/>
                <w:szCs w:val="21"/>
                <w:highlight w:val="none"/>
              </w:rPr>
              <w:t>CMMI</w:t>
            </w:r>
            <w:r>
              <w:rPr>
                <w:rFonts w:hint="eastAsia" w:hAnsi="宋体"/>
                <w:color w:val="auto"/>
                <w:sz w:val="21"/>
                <w:szCs w:val="21"/>
                <w:highlight w:val="none"/>
                <w:lang w:val="en-US" w:eastAsia="zh-CN"/>
              </w:rPr>
              <w:t>5级</w:t>
            </w:r>
            <w:r>
              <w:rPr>
                <w:rFonts w:hint="eastAsia" w:ascii="宋体" w:hAnsi="宋体"/>
                <w:color w:val="auto"/>
                <w:sz w:val="21"/>
                <w:szCs w:val="21"/>
                <w:highlight w:val="none"/>
              </w:rPr>
              <w:t>认证</w:t>
            </w:r>
            <w:r>
              <w:rPr>
                <w:rFonts w:hint="eastAsia" w:hAnsi="宋体"/>
                <w:color w:val="auto"/>
                <w:sz w:val="21"/>
                <w:szCs w:val="21"/>
                <w:highlight w:val="none"/>
                <w:lang w:val="en-US" w:eastAsia="zh-CN"/>
              </w:rPr>
              <w:t>得</w:t>
            </w:r>
            <w:r>
              <w:rPr>
                <w:rFonts w:hint="eastAsia"/>
                <w:color w:val="auto"/>
                <w:highlight w:val="none"/>
                <w:lang w:val="en-US" w:eastAsia="zh-CN"/>
              </w:rPr>
              <w:t>2</w:t>
            </w:r>
            <w:r>
              <w:rPr>
                <w:color w:val="auto"/>
                <w:highlight w:val="none"/>
              </w:rPr>
              <w:t>分</w:t>
            </w:r>
            <w:r>
              <w:rPr>
                <w:rFonts w:hint="eastAsia" w:hAnsi="宋体"/>
                <w:color w:val="auto"/>
                <w:szCs w:val="21"/>
                <w:highlight w:val="none"/>
              </w:rPr>
              <w:t>，否则不得分</w:t>
            </w:r>
          </w:p>
        </w:tc>
      </w:tr>
      <w:tr w14:paraId="1D5A6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tcBorders>
              <w:top w:val="single" w:color="auto" w:sz="4" w:space="0"/>
              <w:left w:val="single" w:color="auto" w:sz="4" w:space="0"/>
              <w:bottom w:val="single" w:color="auto" w:sz="4" w:space="0"/>
              <w:right w:val="single" w:color="auto" w:sz="4" w:space="0"/>
            </w:tcBorders>
            <w:vAlign w:val="center"/>
          </w:tcPr>
          <w:p w14:paraId="12ECA009">
            <w:pPr>
              <w:pStyle w:val="5"/>
              <w:spacing w:line="288" w:lineRule="auto"/>
              <w:jc w:val="center"/>
              <w:rPr>
                <w:rFonts w:hAnsi="宋体"/>
                <w:color w:val="auto"/>
                <w:szCs w:val="21"/>
                <w:highlight w:val="none"/>
              </w:rPr>
            </w:pPr>
            <w:r>
              <w:rPr>
                <w:rFonts w:hAnsi="宋体"/>
                <w:color w:val="auto"/>
                <w:szCs w:val="21"/>
                <w:highlight w:val="none"/>
              </w:rPr>
              <w:t>2.2.4（3）</w:t>
            </w:r>
          </w:p>
        </w:tc>
        <w:tc>
          <w:tcPr>
            <w:tcW w:w="741" w:type="dxa"/>
            <w:tcBorders>
              <w:top w:val="single" w:color="auto" w:sz="4" w:space="0"/>
              <w:left w:val="single" w:color="auto" w:sz="4" w:space="0"/>
              <w:bottom w:val="single" w:color="auto" w:sz="4" w:space="0"/>
              <w:right w:val="single" w:color="auto" w:sz="4" w:space="0"/>
            </w:tcBorders>
            <w:vAlign w:val="center"/>
          </w:tcPr>
          <w:p w14:paraId="60CEE2E9">
            <w:pPr>
              <w:pStyle w:val="5"/>
              <w:spacing w:line="288" w:lineRule="auto"/>
              <w:jc w:val="center"/>
              <w:rPr>
                <w:rFonts w:hAnsi="宋体"/>
                <w:color w:val="auto"/>
                <w:szCs w:val="21"/>
                <w:highlight w:val="none"/>
              </w:rPr>
            </w:pPr>
            <w:r>
              <w:rPr>
                <w:rFonts w:hint="eastAsia" w:hAnsi="宋体"/>
                <w:color w:val="auto"/>
                <w:szCs w:val="21"/>
                <w:highlight w:val="none"/>
              </w:rPr>
              <w:t>评标价</w:t>
            </w:r>
          </w:p>
        </w:tc>
        <w:tc>
          <w:tcPr>
            <w:tcW w:w="831" w:type="dxa"/>
            <w:tcBorders>
              <w:top w:val="single" w:color="auto" w:sz="4" w:space="0"/>
              <w:left w:val="single" w:color="auto" w:sz="4" w:space="0"/>
              <w:bottom w:val="single" w:color="auto" w:sz="4" w:space="0"/>
              <w:right w:val="single" w:color="auto" w:sz="4" w:space="0"/>
            </w:tcBorders>
            <w:vAlign w:val="center"/>
          </w:tcPr>
          <w:p w14:paraId="5347949A">
            <w:pPr>
              <w:pStyle w:val="5"/>
              <w:spacing w:line="288" w:lineRule="auto"/>
              <w:jc w:val="center"/>
              <w:rPr>
                <w:rFonts w:hAnsi="宋体"/>
                <w:color w:val="auto"/>
                <w:szCs w:val="21"/>
                <w:highlight w:val="none"/>
              </w:rPr>
            </w:pPr>
            <w:r>
              <w:rPr>
                <w:rFonts w:hint="eastAsia" w:hAnsi="宋体"/>
                <w:color w:val="auto"/>
                <w:szCs w:val="21"/>
                <w:highlight w:val="none"/>
                <w:lang w:val="en-US" w:eastAsia="zh-CN"/>
              </w:rPr>
              <w:t>1</w:t>
            </w:r>
            <w:r>
              <w:rPr>
                <w:rFonts w:hAnsi="宋体"/>
                <w:color w:val="auto"/>
                <w:szCs w:val="21"/>
                <w:highlight w:val="none"/>
              </w:rPr>
              <w:t>0分</w:t>
            </w:r>
          </w:p>
        </w:tc>
        <w:tc>
          <w:tcPr>
            <w:tcW w:w="7636" w:type="dxa"/>
            <w:gridSpan w:val="3"/>
            <w:tcBorders>
              <w:top w:val="single" w:color="auto" w:sz="4" w:space="0"/>
              <w:left w:val="single" w:color="auto" w:sz="4" w:space="0"/>
              <w:bottom w:val="single" w:color="auto" w:sz="4" w:space="0"/>
              <w:right w:val="single" w:color="auto" w:sz="4" w:space="0"/>
            </w:tcBorders>
            <w:vAlign w:val="center"/>
          </w:tcPr>
          <w:p w14:paraId="42F2E719">
            <w:pPr>
              <w:spacing w:line="288" w:lineRule="auto"/>
              <w:jc w:val="left"/>
              <w:rPr>
                <w:rFonts w:hint="eastAsia" w:ascii="宋体" w:hAnsi="宋体"/>
                <w:color w:val="auto"/>
                <w:kern w:val="28"/>
                <w:sz w:val="21"/>
                <w:szCs w:val="21"/>
                <w:highlight w:val="none"/>
              </w:rPr>
            </w:pPr>
            <w:r>
              <w:rPr>
                <w:rFonts w:hint="eastAsia" w:ascii="宋体" w:hAnsi="宋体"/>
                <w:color w:val="auto"/>
                <w:kern w:val="28"/>
                <w:sz w:val="21"/>
                <w:szCs w:val="21"/>
                <w:highlight w:val="none"/>
              </w:rPr>
              <w:t>评标价得分计算公式示例：</w:t>
            </w:r>
          </w:p>
          <w:p w14:paraId="440B69D9">
            <w:pPr>
              <w:spacing w:line="288" w:lineRule="auto"/>
              <w:jc w:val="left"/>
              <w:rPr>
                <w:rFonts w:hint="eastAsia" w:ascii="宋体" w:hAnsi="宋体"/>
                <w:color w:val="auto"/>
                <w:kern w:val="28"/>
                <w:sz w:val="21"/>
                <w:szCs w:val="21"/>
                <w:highlight w:val="none"/>
              </w:rPr>
            </w:pPr>
            <w:r>
              <w:rPr>
                <w:rFonts w:hint="eastAsia" w:ascii="宋体" w:hAnsi="宋体"/>
                <w:color w:val="auto"/>
                <w:kern w:val="28"/>
                <w:sz w:val="21"/>
                <w:szCs w:val="21"/>
                <w:highlight w:val="none"/>
              </w:rPr>
              <w:t>（1）如果投标人的评标价＞评标基准价，则评标价得分=F-（投标人评标价-评标基准价）/评标基准价×100×E1；</w:t>
            </w:r>
          </w:p>
          <w:p w14:paraId="6C08A3D8">
            <w:pPr>
              <w:spacing w:line="288" w:lineRule="auto"/>
              <w:jc w:val="left"/>
              <w:rPr>
                <w:rFonts w:hint="eastAsia" w:ascii="宋体" w:hAnsi="宋体"/>
                <w:color w:val="auto"/>
                <w:kern w:val="28"/>
                <w:sz w:val="21"/>
                <w:szCs w:val="21"/>
                <w:highlight w:val="none"/>
              </w:rPr>
            </w:pPr>
            <w:r>
              <w:rPr>
                <w:rFonts w:hint="eastAsia" w:ascii="宋体" w:hAnsi="宋体"/>
                <w:color w:val="auto"/>
                <w:kern w:val="28"/>
                <w:sz w:val="21"/>
                <w:szCs w:val="21"/>
                <w:highlight w:val="none"/>
              </w:rPr>
              <w:t>（2）如果投标人的评标价≤评标基准价，则评标价得分=F+(投标人评标价-评标基准价)/评标基准价×100×E2。</w:t>
            </w:r>
          </w:p>
          <w:p w14:paraId="3A26114C">
            <w:pPr>
              <w:spacing w:line="288" w:lineRule="auto"/>
              <w:jc w:val="left"/>
              <w:rPr>
                <w:rFonts w:ascii="宋体" w:hAnsi="宋体"/>
                <w:color w:val="auto"/>
                <w:sz w:val="21"/>
                <w:szCs w:val="21"/>
                <w:highlight w:val="none"/>
              </w:rPr>
            </w:pPr>
            <w:r>
              <w:rPr>
                <w:rFonts w:hint="eastAsia" w:ascii="宋体" w:hAnsi="宋体"/>
                <w:color w:val="auto"/>
                <w:sz w:val="21"/>
                <w:szCs w:val="21"/>
                <w:highlight w:val="none"/>
              </w:rPr>
              <w:t>其中，F=10；E1=0.2；E2=0.1；评标价最低得分为0分。</w:t>
            </w:r>
          </w:p>
        </w:tc>
      </w:tr>
    </w:tbl>
    <w:p w14:paraId="564D6710">
      <w:pPr>
        <w:pStyle w:val="5"/>
        <w:jc w:val="left"/>
        <w:rPr>
          <w:rFonts w:hAnsi="宋体"/>
          <w:b/>
          <w:bCs/>
          <w:color w:val="auto"/>
          <w:szCs w:val="21"/>
          <w:highlight w:val="none"/>
        </w:rPr>
      </w:pPr>
    </w:p>
    <w:p w14:paraId="60A56550">
      <w:pPr>
        <w:pStyle w:val="5"/>
        <w:jc w:val="left"/>
        <w:rPr>
          <w:rFonts w:hAnsi="宋体"/>
          <w:b/>
          <w:bCs/>
          <w:color w:val="auto"/>
          <w:szCs w:val="21"/>
          <w:highlight w:val="none"/>
        </w:rPr>
      </w:pPr>
      <w:r>
        <w:rPr>
          <w:rFonts w:hint="eastAsia" w:hAnsi="宋体"/>
          <w:b/>
          <w:bCs/>
          <w:color w:val="auto"/>
          <w:szCs w:val="21"/>
          <w:highlight w:val="none"/>
        </w:rPr>
        <w:t>注：</w:t>
      </w:r>
      <w:r>
        <w:rPr>
          <w:rFonts w:hAnsi="宋体"/>
          <w:b/>
          <w:bCs/>
          <w:color w:val="auto"/>
          <w:szCs w:val="21"/>
          <w:highlight w:val="none"/>
        </w:rPr>
        <w:t>1、评委打分保留一位小数。</w:t>
      </w:r>
    </w:p>
    <w:p w14:paraId="7ACC02EF">
      <w:pPr>
        <w:pStyle w:val="5"/>
        <w:numPr>
          <w:ilvl w:val="0"/>
          <w:numId w:val="1"/>
        </w:numPr>
        <w:jc w:val="left"/>
        <w:rPr>
          <w:rFonts w:hAnsi="宋体"/>
          <w:b/>
          <w:bCs/>
          <w:color w:val="auto"/>
          <w:szCs w:val="21"/>
          <w:highlight w:val="none"/>
        </w:rPr>
      </w:pPr>
      <w:r>
        <w:rPr>
          <w:rFonts w:hAnsi="宋体"/>
          <w:b/>
          <w:bCs/>
          <w:color w:val="auto"/>
          <w:szCs w:val="21"/>
          <w:highlight w:val="none"/>
        </w:rPr>
        <w:t>各评分因素得分应以评标委员会各成员的打分平均值确定，汇总得分保留2位小数。</w:t>
      </w:r>
    </w:p>
    <w:p w14:paraId="7E9FF53E">
      <w:pPr>
        <w:pStyle w:val="5"/>
        <w:numPr>
          <w:ilvl w:val="-1"/>
          <w:numId w:val="0"/>
        </w:numPr>
        <w:jc w:val="left"/>
        <w:rPr>
          <w:rFonts w:hAnsi="宋体"/>
          <w:color w:val="auto"/>
          <w:highlight w:val="none"/>
        </w:rPr>
      </w:pPr>
      <w:r>
        <w:rPr>
          <w:rFonts w:hAnsi="宋体"/>
          <w:b/>
          <w:bCs/>
          <w:color w:val="auto"/>
          <w:szCs w:val="21"/>
          <w:highlight w:val="none"/>
        </w:rPr>
        <w:t>3、技术建议书缺项，则该项得0分</w:t>
      </w:r>
      <w:r>
        <w:rPr>
          <w:rFonts w:hint="eastAsia" w:hAnsi="宋体"/>
          <w:color w:val="auto"/>
          <w:szCs w:val="21"/>
          <w:highlight w:val="none"/>
        </w:rPr>
        <w:t>。</w:t>
      </w:r>
      <w:bookmarkEnd w:id="14"/>
      <w:bookmarkStart w:id="15" w:name="_GoBack"/>
      <w:bookmarkEnd w:id="15"/>
    </w:p>
    <w:sectPr>
      <w:pgSz w:w="11907" w:h="16839"/>
      <w:pgMar w:top="1417" w:right="1644" w:bottom="1417" w:left="1644" w:header="1387" w:footer="1179" w:gutter="0"/>
      <w:pgBorders>
        <w:top w:val="none" w:sz="0" w:space="0"/>
        <w:left w:val="none" w:sz="0" w:space="0"/>
        <w:bottom w:val="none" w:sz="0" w:space="0"/>
        <w:right w:val="none" w:sz="0" w:space="0"/>
      </w:pgBorders>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
    <w:altName w:val="宋体"/>
    <w:panose1 w:val="00000000000000000000"/>
    <w:charset w:val="00"/>
    <w:family w:val="auto"/>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A46AB5"/>
    <w:multiLevelType w:val="singleLevel"/>
    <w:tmpl w:val="F1A46AB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5M2JmMTU5OTRiM2QyOTg1MzY5YTk1YzYwNzc0ZmEifQ=="/>
  </w:docVars>
  <w:rsids>
    <w:rsidRoot w:val="00000000"/>
    <w:rsid w:val="1D847729"/>
    <w:rsid w:val="57652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8"/>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2"/>
    <w:next w:val="2"/>
    <w:qFormat/>
    <w:uiPriority w:val="0"/>
    <w:pPr>
      <w:keepNext/>
      <w:keepLines/>
      <w:spacing w:before="260" w:after="260" w:line="416" w:lineRule="auto"/>
      <w:outlineLvl w:val="2"/>
    </w:pPr>
    <w:rPr>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rPr>
      <w:kern w:val="2"/>
      <w:szCs w:val="24"/>
    </w:rPr>
  </w:style>
  <w:style w:type="paragraph" w:styleId="5">
    <w:name w:val="Plain Text"/>
    <w:basedOn w:val="1"/>
    <w:qFormat/>
    <w:uiPriority w:val="99"/>
    <w:rPr>
      <w:rFonts w:ascii="宋体" w:hAnsi="Courier New"/>
      <w:kern w:val="2"/>
      <w:sz w:val="21"/>
    </w:rPr>
  </w:style>
  <w:style w:type="paragraph" w:customStyle="1" w:styleId="8">
    <w:name w:val="样式54"/>
    <w:basedOn w:val="2"/>
    <w:autoRedefine/>
    <w:qFormat/>
    <w:uiPriority w:val="0"/>
    <w:pPr>
      <w:spacing w:before="0" w:after="0" w:line="360" w:lineRule="auto"/>
      <w:jc w:val="center"/>
    </w:pPr>
  </w:style>
  <w:style w:type="paragraph" w:customStyle="1" w:styleId="9">
    <w:name w:val="样式55"/>
    <w:basedOn w:val="3"/>
    <w:autoRedefine/>
    <w:qFormat/>
    <w:uiPriority w:val="0"/>
    <w:pPr>
      <w:spacing w:before="0" w:after="0" w:line="360" w:lineRule="auto"/>
    </w:pPr>
    <w:rPr>
      <w:sz w:val="28"/>
    </w:rPr>
  </w:style>
  <w:style w:type="character" w:customStyle="1" w:styleId="10">
    <w:name w:val="正文文本 (2) + 10.5 pt"/>
    <w:autoRedefine/>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2024-07-19T01:17:53Z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C0799145789247568F1E5103A4879B8E_12</vt:lpwstr>
  </property>
</Properties>
</file>