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ECF82">
      <w:pPr>
        <w:adjustRightInd w:val="0"/>
        <w:spacing w:line="400" w:lineRule="exact"/>
        <w:jc w:val="left"/>
        <w:rPr>
          <w:rFonts w:ascii="宋体" w:hAnsi="宋体"/>
          <w:b/>
          <w:color w:val="auto"/>
          <w:sz w:val="24"/>
          <w:highlight w:val="none"/>
        </w:rPr>
      </w:pPr>
      <w:r>
        <w:rPr>
          <w:rFonts w:hint="eastAsia" w:ascii="宋体" w:hAnsi="宋体"/>
          <w:b/>
          <w:color w:val="auto"/>
          <w:sz w:val="24"/>
          <w:highlight w:val="none"/>
        </w:rPr>
        <w:t>附件</w:t>
      </w:r>
      <w:r>
        <w:rPr>
          <w:rFonts w:hint="eastAsia" w:ascii="宋体" w:hAnsi="宋体"/>
          <w:b/>
          <w:color w:val="auto"/>
          <w:sz w:val="24"/>
          <w:highlight w:val="none"/>
          <w:lang w:eastAsia="zh-CN"/>
        </w:rPr>
        <w:t>2</w:t>
      </w:r>
      <w:r>
        <w:rPr>
          <w:rFonts w:hint="eastAsia" w:ascii="宋体" w:hAnsi="宋体"/>
          <w:b/>
          <w:color w:val="auto"/>
          <w:sz w:val="24"/>
          <w:highlight w:val="none"/>
        </w:rPr>
        <w:t>：评标办法</w:t>
      </w:r>
    </w:p>
    <w:p w14:paraId="63F19F64">
      <w:pPr>
        <w:pStyle w:val="8"/>
        <w:spacing w:line="276" w:lineRule="auto"/>
        <w:rPr>
          <w:rFonts w:ascii="宋体" w:hAnsi="宋体" w:eastAsia="宋体"/>
          <w:color w:val="auto"/>
          <w:sz w:val="30"/>
          <w:szCs w:val="30"/>
          <w:highlight w:val="none"/>
        </w:rPr>
      </w:pPr>
      <w:bookmarkStart w:id="0" w:name="_Toc511635241"/>
      <w:bookmarkStart w:id="1" w:name="_Toc509846348"/>
      <w:bookmarkStart w:id="2" w:name="_Toc450319202"/>
      <w:bookmarkStart w:id="3" w:name="_Toc459307890"/>
      <w:bookmarkStart w:id="4" w:name="_Toc502992691"/>
      <w:bookmarkStart w:id="5" w:name="_Toc101801418"/>
      <w:bookmarkStart w:id="6" w:name="_Toc509660966"/>
      <w:bookmarkStart w:id="7" w:name="_Toc509659998"/>
      <w:bookmarkStart w:id="8" w:name="_Toc445382083"/>
      <w:bookmarkStart w:id="9" w:name="_Toc444088432"/>
      <w:bookmarkStart w:id="10" w:name="_Toc445222503"/>
      <w:bookmarkStart w:id="11" w:name="_Toc444271617"/>
      <w:r>
        <w:rPr>
          <w:rFonts w:hint="eastAsia" w:ascii="宋体" w:hAnsi="宋体" w:eastAsia="宋体"/>
          <w:color w:val="auto"/>
          <w:sz w:val="30"/>
          <w:szCs w:val="30"/>
          <w:highlight w:val="none"/>
        </w:rPr>
        <w:t>评标办法（综合评估法）</w:t>
      </w:r>
      <w:bookmarkEnd w:id="0"/>
      <w:bookmarkEnd w:id="1"/>
      <w:bookmarkEnd w:id="2"/>
      <w:bookmarkEnd w:id="3"/>
      <w:bookmarkEnd w:id="4"/>
      <w:bookmarkEnd w:id="5"/>
      <w:bookmarkEnd w:id="6"/>
      <w:bookmarkEnd w:id="7"/>
    </w:p>
    <w:bookmarkEnd w:id="8"/>
    <w:bookmarkEnd w:id="9"/>
    <w:bookmarkEnd w:id="10"/>
    <w:bookmarkEnd w:id="11"/>
    <w:p w14:paraId="3038B78B">
      <w:pPr>
        <w:pStyle w:val="9"/>
        <w:spacing w:line="276" w:lineRule="auto"/>
        <w:jc w:val="center"/>
        <w:rPr>
          <w:rFonts w:ascii="宋体" w:hAnsi="宋体"/>
          <w:color w:val="auto"/>
          <w:sz w:val="24"/>
          <w:szCs w:val="24"/>
          <w:highlight w:val="none"/>
          <w:vertAlign w:val="superscript"/>
        </w:rPr>
      </w:pPr>
      <w:bookmarkStart w:id="12" w:name="_Toc511635242"/>
      <w:bookmarkStart w:id="13" w:name="_Toc101801419"/>
      <w:bookmarkStart w:id="14" w:name="_Hlk102120823"/>
      <w:r>
        <w:rPr>
          <w:rFonts w:hint="eastAsia" w:ascii="宋体" w:hAnsi="宋体"/>
          <w:color w:val="auto"/>
          <w:sz w:val="24"/>
          <w:szCs w:val="24"/>
          <w:highlight w:val="none"/>
        </w:rPr>
        <w:t>评标办法前附表</w:t>
      </w:r>
      <w:bookmarkEnd w:id="12"/>
      <w:bookmarkEnd w:id="13"/>
    </w:p>
    <w:tbl>
      <w:tblPr>
        <w:tblStyle w:val="6"/>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45"/>
        <w:gridCol w:w="7814"/>
      </w:tblGrid>
      <w:tr w14:paraId="6AE3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873" w:type="dxa"/>
            <w:vAlign w:val="center"/>
          </w:tcPr>
          <w:p w14:paraId="5D594772">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条款号</w:t>
            </w:r>
          </w:p>
        </w:tc>
        <w:tc>
          <w:tcPr>
            <w:tcW w:w="1245" w:type="dxa"/>
            <w:vAlign w:val="center"/>
          </w:tcPr>
          <w:p w14:paraId="2FBD1CA6">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条款名称</w:t>
            </w:r>
          </w:p>
        </w:tc>
        <w:tc>
          <w:tcPr>
            <w:tcW w:w="7814" w:type="dxa"/>
            <w:vAlign w:val="center"/>
          </w:tcPr>
          <w:p w14:paraId="0C4487DC">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评审因素与评审标准</w:t>
            </w:r>
          </w:p>
        </w:tc>
      </w:tr>
      <w:tr w14:paraId="087E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873" w:type="dxa"/>
            <w:vAlign w:val="center"/>
          </w:tcPr>
          <w:p w14:paraId="32A8085D">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45" w:type="dxa"/>
            <w:vAlign w:val="center"/>
          </w:tcPr>
          <w:p w14:paraId="6EAE28EC">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评标办法</w:t>
            </w:r>
          </w:p>
        </w:tc>
        <w:tc>
          <w:tcPr>
            <w:tcW w:w="7814" w:type="dxa"/>
            <w:vAlign w:val="center"/>
          </w:tcPr>
          <w:p w14:paraId="44266222">
            <w:pPr>
              <w:spacing w:line="288" w:lineRule="auto"/>
              <w:ind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本条修改为：</w:t>
            </w:r>
          </w:p>
          <w:p w14:paraId="659D96C0">
            <w:pPr>
              <w:spacing w:line="288"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本次评标采用综合评估法。评标委员会对满足招标文件实质性要求的投标文件，按照第三章第2.2款规定的评分标准进行打分，并按得分由高到低顺序推荐1-3名中标候选人。</w:t>
            </w:r>
          </w:p>
          <w:p w14:paraId="38A596DF">
            <w:pPr>
              <w:spacing w:line="288"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综合评分相等时，评标委员会依次按照以下优先顺序推荐中标候选人或确定中标人：</w:t>
            </w:r>
          </w:p>
          <w:p w14:paraId="0F5AF555">
            <w:pPr>
              <w:spacing w:line="288" w:lineRule="auto"/>
              <w:ind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（1）评标价低的投标人优先；</w:t>
            </w:r>
          </w:p>
          <w:p w14:paraId="2EC560E1">
            <w:pPr>
              <w:spacing w:line="288" w:lineRule="auto"/>
              <w:ind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（2）商务和技术得分较高的优先；</w:t>
            </w:r>
          </w:p>
          <w:p w14:paraId="324C19FC">
            <w:pPr>
              <w:spacing w:line="288" w:lineRule="auto"/>
              <w:ind w:firstLine="404" w:firstLineChars="200"/>
              <w:rPr>
                <w:rFonts w:ascii="宋体" w:hAnsi="宋体"/>
                <w:color w:val="auto"/>
                <w:sz w:val="21"/>
                <w:szCs w:val="21"/>
                <w:highlight w:val="none"/>
              </w:rPr>
            </w:pPr>
            <w:r>
              <w:rPr>
                <w:rFonts w:hint="eastAsia" w:ascii="宋体" w:hAnsi="宋体"/>
                <w:color w:val="auto"/>
                <w:spacing w:val="-4"/>
                <w:sz w:val="21"/>
                <w:szCs w:val="21"/>
                <w:highlight w:val="none"/>
              </w:rPr>
              <w:t>（3）满足资格审查条件（业绩最低条件）要求所附业绩中最高合同金额较大的优先。或者满足资格审查条件（业绩最低条件）要求所附业绩数量最多的。</w:t>
            </w:r>
          </w:p>
        </w:tc>
      </w:tr>
      <w:tr w14:paraId="15B2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73" w:type="dxa"/>
            <w:vAlign w:val="center"/>
          </w:tcPr>
          <w:p w14:paraId="66FACBED">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2.1.1</w:t>
            </w:r>
          </w:p>
          <w:p w14:paraId="35398EC5">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2.1.3</w:t>
            </w:r>
          </w:p>
        </w:tc>
        <w:tc>
          <w:tcPr>
            <w:tcW w:w="1245" w:type="dxa"/>
            <w:vAlign w:val="center"/>
          </w:tcPr>
          <w:p w14:paraId="7E0A10C2">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形式评审与响应性评审标准</w:t>
            </w:r>
          </w:p>
        </w:tc>
        <w:tc>
          <w:tcPr>
            <w:tcW w:w="7814" w:type="dxa"/>
          </w:tcPr>
          <w:p w14:paraId="6DC831AB">
            <w:pPr>
              <w:tabs>
                <w:tab w:val="left" w:pos="3060"/>
              </w:tabs>
              <w:spacing w:line="288" w:lineRule="auto"/>
              <w:rPr>
                <w:rFonts w:ascii="宋体" w:hAnsi="宋体"/>
                <w:b/>
                <w:color w:val="auto"/>
                <w:sz w:val="21"/>
                <w:szCs w:val="21"/>
                <w:highlight w:val="none"/>
              </w:rPr>
            </w:pPr>
            <w:r>
              <w:rPr>
                <w:rFonts w:hint="eastAsia" w:ascii="宋体" w:hAnsi="宋体"/>
                <w:b/>
                <w:color w:val="auto"/>
                <w:sz w:val="21"/>
                <w:szCs w:val="21"/>
                <w:highlight w:val="none"/>
              </w:rPr>
              <w:t>第一个信封（商务及技术文件）评审标准:</w:t>
            </w:r>
          </w:p>
          <w:p w14:paraId="206B6065">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（1）投标文件按照招标文件规定的格式、内容填写，字迹清晰可辩：</w:t>
            </w:r>
          </w:p>
          <w:p w14:paraId="5806DC66">
            <w:pPr>
              <w:tabs>
                <w:tab w:val="left" w:pos="3060"/>
              </w:tabs>
              <w:spacing w:line="288"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a、投标函按招标文件规定填报了项目名称、标段号（如有）、补遗书编号（如有）、项目负责人信息、服务期限、工程质量要求及安全目标；</w:t>
            </w:r>
          </w:p>
          <w:p w14:paraId="11AA0832">
            <w:pPr>
              <w:tabs>
                <w:tab w:val="left" w:pos="3060"/>
              </w:tabs>
              <w:spacing w:line="288"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b、投标文件组成齐全完整，内容均按规定填写。</w:t>
            </w:r>
          </w:p>
          <w:p w14:paraId="315B8412">
            <w:pPr>
              <w:tabs>
                <w:tab w:val="left" w:pos="3060"/>
              </w:tabs>
              <w:spacing w:line="288" w:lineRule="auto"/>
              <w:ind w:firstLine="210" w:firstLineChars="100"/>
              <w:rPr>
                <w:rFonts w:ascii="宋体" w:hAnsi="宋体"/>
                <w:b/>
                <w:color w:val="auto"/>
                <w:sz w:val="21"/>
                <w:szCs w:val="21"/>
                <w:highlight w:val="none"/>
              </w:rPr>
            </w:pPr>
            <w:r>
              <w:rPr>
                <w:rFonts w:hint="eastAsia" w:ascii="宋体" w:hAnsi="宋体"/>
                <w:color w:val="auto"/>
                <w:sz w:val="21"/>
                <w:szCs w:val="21"/>
                <w:highlight w:val="none"/>
              </w:rPr>
              <w:t>（2）投标文件上法定代表人或其委托代理人的签字、投标人的单位章盖章齐全，符合招标文件规定。</w:t>
            </w:r>
          </w:p>
          <w:p w14:paraId="3DDE1F98">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（3）投标人按照招标文件规定的金额、形式、时效和内容提供了投标保证金：</w:t>
            </w:r>
          </w:p>
          <w:p w14:paraId="2FA30973">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a.投标保证金金额符合招标文件规定的金额，且投标保证金有效期不少于投标有效期；</w:t>
            </w:r>
          </w:p>
          <w:p w14:paraId="0A877778">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b.若投标保证金采用现金或支票形式提交，投标人应在递交投标文件截止时间之前，将投标保证金由投标人的基本账户转入招标人指定账户；</w:t>
            </w:r>
          </w:p>
          <w:p w14:paraId="3C09680A">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c.若投标保证金采用银行保函形式提交，银行保函的格式、开具保函的银行均满足招标文件要求，且在递交投标文件截止时间之前向招标人提交了银行保函原件。</w:t>
            </w:r>
          </w:p>
          <w:p w14:paraId="0A9A6D8B">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（4）投标人法定代表人的授权委托代理人签署投标文件的，需提交授权委托书，且符合招标文件规定。</w:t>
            </w:r>
          </w:p>
          <w:p w14:paraId="0A04A4A3">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（5）投标人法定代表人亲自签署投标文件的，需提交法定代表人身份证明，</w:t>
            </w:r>
          </w:p>
          <w:p w14:paraId="4E5E5B72">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且符合招标文件规定。</w:t>
            </w:r>
          </w:p>
          <w:p w14:paraId="292F31C1">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（6）投标人未以联合体形式投标。</w:t>
            </w:r>
          </w:p>
          <w:p w14:paraId="315CC42C">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（7）投标人未提交分包计划。</w:t>
            </w:r>
          </w:p>
          <w:p w14:paraId="3DE0CAD2">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（8）同一投标人未提交两个以上不同的投标文件。</w:t>
            </w:r>
          </w:p>
          <w:p w14:paraId="1AAC3751">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（9）投标文件中未出现有关投标报价的内容。</w:t>
            </w:r>
          </w:p>
          <w:p w14:paraId="7F74B860">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（10）投标文件载明的招标项目完成期限未超过招标文件规定的时限。</w:t>
            </w:r>
          </w:p>
          <w:p w14:paraId="5BEE476D">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（11）投标文件对招标文件的实质性要求和条件作出响应。</w:t>
            </w:r>
          </w:p>
          <w:p w14:paraId="432703EC">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（12）权利义务符合招标文件规定：</w:t>
            </w:r>
          </w:p>
          <w:p w14:paraId="7A22081B">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a.投标人应接受招标文件规定的风险划分原则，未提出新的风险划分办法；</w:t>
            </w:r>
          </w:p>
          <w:p w14:paraId="0046117F">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b.投标人未增加发包人的责任范围，或减少投标人义务；</w:t>
            </w:r>
          </w:p>
          <w:p w14:paraId="16F1907D">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c.投标人未提出不同的工程验收、计量、支付办法；</w:t>
            </w:r>
          </w:p>
          <w:p w14:paraId="0FFA25CB">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d.投标人对合同纠纷、事故处理办法未提出异议；</w:t>
            </w:r>
          </w:p>
          <w:p w14:paraId="0EA014D6">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e.投标人在投标活动中无欺诈行为；</w:t>
            </w:r>
          </w:p>
          <w:p w14:paraId="7E8C2661">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f.投标人未对合同条款有重要保留。</w:t>
            </w:r>
          </w:p>
          <w:p w14:paraId="2F376FBB">
            <w:pPr>
              <w:tabs>
                <w:tab w:val="left" w:pos="3060"/>
              </w:tabs>
              <w:spacing w:line="288" w:lineRule="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第一个信封(技术文件)评审标准:</w:t>
            </w:r>
          </w:p>
          <w:p w14:paraId="2482787A">
            <w:pPr>
              <w:tabs>
                <w:tab w:val="left" w:pos="3060"/>
              </w:tabs>
              <w:spacing w:line="288" w:lineRule="auto"/>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(1)施工组织设计编制(</w:t>
            </w:r>
            <w:r>
              <w:rPr>
                <w:rFonts w:hint="eastAsia" w:ascii="宋体" w:hAnsi="宋体" w:eastAsia="宋体"/>
                <w:color w:val="auto"/>
                <w:sz w:val="21"/>
                <w:szCs w:val="21"/>
                <w:highlight w:val="none"/>
                <w:lang w:val="en-US" w:eastAsia="zh-CN"/>
              </w:rPr>
              <w:t>即技术建议书</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为暗标，</w:t>
            </w:r>
            <w:r>
              <w:rPr>
                <w:rFonts w:hint="eastAsia" w:ascii="宋体" w:hAnsi="宋体" w:eastAsia="宋体"/>
                <w:color w:val="auto"/>
                <w:sz w:val="21"/>
                <w:szCs w:val="21"/>
                <w:highlight w:val="none"/>
              </w:rPr>
              <w:t>符合招标文件第二章“投标人须知”第 10.2 款的规定。</w:t>
            </w:r>
          </w:p>
          <w:p w14:paraId="23259F97">
            <w:pPr>
              <w:tabs>
                <w:tab w:val="left" w:pos="3060"/>
              </w:tabs>
              <w:spacing w:line="288" w:lineRule="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第二个信封（报价文件）评审标准：</w:t>
            </w:r>
          </w:p>
          <w:p w14:paraId="6EE4F439">
            <w:pPr>
              <w:tabs>
                <w:tab w:val="left" w:pos="3060"/>
              </w:tabs>
              <w:spacing w:line="288" w:lineRule="auto"/>
              <w:ind w:firstLine="105" w:firstLineChars="50"/>
              <w:rPr>
                <w:rFonts w:ascii="宋体" w:hAnsi="宋体"/>
                <w:color w:val="auto"/>
                <w:sz w:val="21"/>
                <w:szCs w:val="21"/>
                <w:highlight w:val="none"/>
              </w:rPr>
            </w:pPr>
            <w:r>
              <w:rPr>
                <w:rFonts w:hint="eastAsia" w:ascii="宋体" w:hAnsi="宋体" w:eastAsia="宋体"/>
                <w:color w:val="auto"/>
                <w:sz w:val="21"/>
                <w:szCs w:val="21"/>
                <w:highlight w:val="none"/>
              </w:rPr>
              <w:t>(1)投标文件按照招标文件规定的格式、内容填写，字</w:t>
            </w:r>
            <w:r>
              <w:rPr>
                <w:rFonts w:hint="eastAsia" w:ascii="宋体" w:hAnsi="宋体"/>
                <w:color w:val="auto"/>
                <w:sz w:val="21"/>
                <w:szCs w:val="21"/>
                <w:highlight w:val="none"/>
              </w:rPr>
              <w:t>迹清晰可辨，内容齐全完整：</w:t>
            </w:r>
          </w:p>
          <w:p w14:paraId="10E16A5A">
            <w:pPr>
              <w:tabs>
                <w:tab w:val="left" w:pos="3060"/>
              </w:tabs>
              <w:spacing w:line="288"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a．投标函按招标文件规定填报了项目名称、标段号（如有）、补遗书编号（如有）、投标价（包括大写金额和小写金额）；</w:t>
            </w:r>
          </w:p>
          <w:p w14:paraId="38925E98">
            <w:pPr>
              <w:tabs>
                <w:tab w:val="left" w:pos="3060"/>
              </w:tabs>
              <w:spacing w:line="288"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b．已标价报价清单说明文字与招标文件规定一致，未进行实质性修改和删减；</w:t>
            </w:r>
          </w:p>
          <w:p w14:paraId="1C36AF12">
            <w:pPr>
              <w:tabs>
                <w:tab w:val="left" w:pos="3060"/>
              </w:tabs>
              <w:spacing w:line="288"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c．投标文件组成齐全完整，内容均按规定填写。</w:t>
            </w:r>
          </w:p>
          <w:p w14:paraId="4D914051">
            <w:pPr>
              <w:tabs>
                <w:tab w:val="left" w:pos="3060"/>
              </w:tabs>
              <w:spacing w:line="288"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(2) 投标文件上法定代表人或其委托代理人签字、投标人的单位章齐全，符合招标文件规定。</w:t>
            </w:r>
          </w:p>
          <w:p w14:paraId="21048954">
            <w:pPr>
              <w:tabs>
                <w:tab w:val="left" w:pos="3060"/>
              </w:tabs>
              <w:spacing w:line="288"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(3)投标报价未超过招标文件设定的最高投标限价。</w:t>
            </w:r>
          </w:p>
          <w:p w14:paraId="1040435C">
            <w:pPr>
              <w:tabs>
                <w:tab w:val="left" w:pos="3060"/>
              </w:tabs>
              <w:spacing w:line="288"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(4)投标报价的大写金额能够确定具体数值。</w:t>
            </w:r>
          </w:p>
          <w:p w14:paraId="5A9F8C75">
            <w:pPr>
              <w:tabs>
                <w:tab w:val="left" w:pos="3060"/>
              </w:tabs>
              <w:spacing w:line="288" w:lineRule="auto"/>
              <w:ind w:firstLine="105" w:firstLineChars="50"/>
              <w:rPr>
                <w:rFonts w:ascii="宋体" w:hAnsi="宋体"/>
                <w:b/>
                <w:color w:val="auto"/>
                <w:sz w:val="21"/>
                <w:szCs w:val="21"/>
                <w:highlight w:val="none"/>
              </w:rPr>
            </w:pPr>
            <w:r>
              <w:rPr>
                <w:rFonts w:hint="eastAsia" w:ascii="宋体" w:hAnsi="宋体"/>
                <w:color w:val="auto"/>
                <w:sz w:val="21"/>
                <w:szCs w:val="21"/>
                <w:highlight w:val="none"/>
              </w:rPr>
              <w:t>(5)同一投标人未提交两个以上不同的投标报价。</w:t>
            </w:r>
          </w:p>
        </w:tc>
      </w:tr>
      <w:tr w14:paraId="51B9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73" w:type="dxa"/>
            <w:vAlign w:val="center"/>
          </w:tcPr>
          <w:p w14:paraId="74910F92">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2.1.2</w:t>
            </w:r>
          </w:p>
        </w:tc>
        <w:tc>
          <w:tcPr>
            <w:tcW w:w="1245" w:type="dxa"/>
            <w:vAlign w:val="center"/>
          </w:tcPr>
          <w:p w14:paraId="7E0ECA92">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资格评审</w:t>
            </w:r>
          </w:p>
          <w:p w14:paraId="4E57EF44">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标准</w:t>
            </w:r>
          </w:p>
        </w:tc>
        <w:tc>
          <w:tcPr>
            <w:tcW w:w="7814" w:type="dxa"/>
          </w:tcPr>
          <w:p w14:paraId="4BAE409B">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（1）投标人具备有效的营业执照、组织机构代码证（三证合一的除外）、资质证书和基本账户开户许可证（或基本存款账户信息）；</w:t>
            </w:r>
          </w:p>
          <w:p w14:paraId="3BC4F769">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（2）投标人的资质等级符合招标文件规定；</w:t>
            </w:r>
            <w:bookmarkStart w:id="15" w:name="_GoBack"/>
            <w:bookmarkEnd w:id="15"/>
          </w:p>
          <w:p w14:paraId="13A1AB0D">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（3）投标人的类似项目业绩符合招标文件规定；</w:t>
            </w:r>
          </w:p>
          <w:p w14:paraId="5B81EFC8">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（4）投标人的信誉符合招标文件规定；</w:t>
            </w:r>
          </w:p>
          <w:p w14:paraId="403243B2">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 xml:space="preserve">（5）投标人的项目负责人资格符合招标文件规定； </w:t>
            </w:r>
          </w:p>
          <w:p w14:paraId="2F966A56">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（6）投标人不存在第二章“投标人须知”第1.4.3项或第1.4.4项规定的任何一种情形。</w:t>
            </w:r>
          </w:p>
          <w:p w14:paraId="770D0D23">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(7)投标人符合第二章“投标人须知”第1.4.5项规定。</w:t>
            </w:r>
          </w:p>
        </w:tc>
      </w:tr>
      <w:tr w14:paraId="495F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873" w:type="dxa"/>
            <w:vAlign w:val="center"/>
          </w:tcPr>
          <w:p w14:paraId="52AD6AED">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2.2.1</w:t>
            </w:r>
          </w:p>
        </w:tc>
        <w:tc>
          <w:tcPr>
            <w:tcW w:w="1245" w:type="dxa"/>
            <w:vAlign w:val="center"/>
          </w:tcPr>
          <w:p w14:paraId="2E9847D3">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分值构成</w:t>
            </w:r>
          </w:p>
        </w:tc>
        <w:tc>
          <w:tcPr>
            <w:tcW w:w="7814" w:type="dxa"/>
            <w:vAlign w:val="center"/>
          </w:tcPr>
          <w:p w14:paraId="343ACE73">
            <w:pPr>
              <w:autoSpaceDE w:val="0"/>
              <w:autoSpaceDN w:val="0"/>
              <w:adjustRightInd w:val="0"/>
              <w:spacing w:line="288" w:lineRule="auto"/>
              <w:ind w:left="107"/>
              <w:jc w:val="left"/>
              <w:rPr>
                <w:rFonts w:ascii="宋体" w:hAnsi="宋体"/>
                <w:b/>
                <w:color w:val="auto"/>
                <w:kern w:val="0"/>
                <w:sz w:val="21"/>
                <w:szCs w:val="21"/>
                <w:highlight w:val="none"/>
              </w:rPr>
            </w:pPr>
            <w:r>
              <w:rPr>
                <w:rFonts w:hint="eastAsia" w:ascii="宋体" w:hAnsi="宋体"/>
                <w:b/>
                <w:color w:val="auto"/>
                <w:kern w:val="0"/>
                <w:sz w:val="21"/>
                <w:szCs w:val="21"/>
                <w:highlight w:val="none"/>
              </w:rPr>
              <w:t>第一信封（商务及技术文件）评分分值构成：</w:t>
            </w:r>
          </w:p>
          <w:p w14:paraId="2E33E6EF">
            <w:pPr>
              <w:autoSpaceDE w:val="0"/>
              <w:autoSpaceDN w:val="0"/>
              <w:adjustRightInd w:val="0"/>
              <w:spacing w:line="288" w:lineRule="auto"/>
              <w:ind w:left="107"/>
              <w:jc w:val="left"/>
              <w:rPr>
                <w:rFonts w:ascii="宋体" w:hAnsi="宋体" w:cs="宋?"/>
                <w:color w:val="auto"/>
                <w:kern w:val="0"/>
                <w:sz w:val="21"/>
                <w:szCs w:val="21"/>
                <w:highlight w:val="none"/>
              </w:rPr>
            </w:pPr>
            <w:r>
              <w:rPr>
                <w:rFonts w:hint="eastAsia" w:ascii="宋体" w:hAnsi="宋体" w:cs="宋?"/>
                <w:color w:val="auto"/>
                <w:kern w:val="0"/>
                <w:sz w:val="21"/>
                <w:szCs w:val="21"/>
                <w:highlight w:val="none"/>
              </w:rPr>
              <w:t>技术建议书：</w:t>
            </w:r>
            <w:r>
              <w:rPr>
                <w:rFonts w:hint="eastAsia" w:ascii="宋体" w:hAnsi="宋体" w:cs="宋?"/>
                <w:color w:val="auto"/>
                <w:kern w:val="0"/>
                <w:sz w:val="21"/>
                <w:szCs w:val="21"/>
                <w:highlight w:val="none"/>
                <w:lang w:val="en-US" w:eastAsia="zh-CN"/>
              </w:rPr>
              <w:t>65</w:t>
            </w:r>
            <w:r>
              <w:rPr>
                <w:rFonts w:ascii="宋体" w:hAnsi="宋体" w:cs="宋?"/>
                <w:color w:val="auto"/>
                <w:kern w:val="0"/>
                <w:sz w:val="21"/>
                <w:szCs w:val="21"/>
                <w:highlight w:val="none"/>
              </w:rPr>
              <w:t>分</w:t>
            </w:r>
          </w:p>
          <w:p w14:paraId="06DDB7D8">
            <w:pPr>
              <w:autoSpaceDE w:val="0"/>
              <w:autoSpaceDN w:val="0"/>
              <w:adjustRightInd w:val="0"/>
              <w:spacing w:line="288" w:lineRule="auto"/>
              <w:ind w:left="107"/>
              <w:jc w:val="left"/>
              <w:rPr>
                <w:rFonts w:ascii="宋体" w:hAnsi="宋体"/>
                <w:color w:val="auto"/>
                <w:kern w:val="0"/>
                <w:sz w:val="21"/>
                <w:szCs w:val="21"/>
                <w:highlight w:val="none"/>
              </w:rPr>
            </w:pPr>
            <w:r>
              <w:rPr>
                <w:rFonts w:hint="eastAsia" w:ascii="宋体" w:hAnsi="宋体"/>
                <w:color w:val="auto"/>
                <w:kern w:val="0"/>
                <w:sz w:val="21"/>
                <w:szCs w:val="21"/>
                <w:highlight w:val="none"/>
              </w:rPr>
              <w:t>主要人员：</w:t>
            </w:r>
            <w:r>
              <w:rPr>
                <w:rFonts w:ascii="宋体" w:hAnsi="宋体"/>
                <w:color w:val="auto"/>
                <w:kern w:val="0"/>
                <w:sz w:val="21"/>
                <w:szCs w:val="21"/>
                <w:highlight w:val="none"/>
              </w:rPr>
              <w:t>1</w:t>
            </w:r>
            <w:r>
              <w:rPr>
                <w:rFonts w:hint="eastAsia" w:ascii="宋体" w:hAnsi="宋体"/>
                <w:color w:val="auto"/>
                <w:kern w:val="0"/>
                <w:sz w:val="21"/>
                <w:szCs w:val="21"/>
                <w:highlight w:val="none"/>
                <w:lang w:val="en-US" w:eastAsia="zh-CN"/>
              </w:rPr>
              <w:t>0</w:t>
            </w:r>
            <w:r>
              <w:rPr>
                <w:rFonts w:hint="eastAsia" w:ascii="宋体" w:hAnsi="宋体"/>
                <w:color w:val="auto"/>
                <w:kern w:val="0"/>
                <w:sz w:val="21"/>
                <w:szCs w:val="21"/>
                <w:highlight w:val="none"/>
              </w:rPr>
              <w:t>分</w:t>
            </w:r>
          </w:p>
          <w:p w14:paraId="3DD7A535">
            <w:pPr>
              <w:autoSpaceDE w:val="0"/>
              <w:autoSpaceDN w:val="0"/>
              <w:adjustRightInd w:val="0"/>
              <w:spacing w:line="288" w:lineRule="auto"/>
              <w:ind w:left="107"/>
              <w:jc w:val="left"/>
              <w:rPr>
                <w:rFonts w:ascii="宋体" w:hAnsi="宋体"/>
                <w:color w:val="auto"/>
                <w:kern w:val="0"/>
                <w:sz w:val="21"/>
                <w:szCs w:val="21"/>
                <w:highlight w:val="none"/>
              </w:rPr>
            </w:pPr>
            <w:r>
              <w:rPr>
                <w:rFonts w:hint="eastAsia" w:ascii="宋体" w:hAnsi="宋体"/>
                <w:color w:val="auto"/>
                <w:kern w:val="0"/>
                <w:sz w:val="21"/>
                <w:szCs w:val="21"/>
                <w:highlight w:val="none"/>
              </w:rPr>
              <w:t>其他因素：</w:t>
            </w:r>
            <w:r>
              <w:rPr>
                <w:rFonts w:hint="eastAsia" w:ascii="宋体" w:hAnsi="宋体"/>
                <w:color w:val="auto"/>
                <w:kern w:val="0"/>
                <w:sz w:val="21"/>
                <w:szCs w:val="21"/>
                <w:highlight w:val="none"/>
                <w:lang w:val="en-US" w:eastAsia="zh-CN"/>
              </w:rPr>
              <w:t>15</w:t>
            </w:r>
            <w:r>
              <w:rPr>
                <w:rFonts w:hint="eastAsia" w:ascii="宋体" w:hAnsi="宋体"/>
                <w:color w:val="auto"/>
                <w:kern w:val="0"/>
                <w:sz w:val="21"/>
                <w:szCs w:val="21"/>
                <w:highlight w:val="none"/>
              </w:rPr>
              <w:t>分</w:t>
            </w:r>
          </w:p>
          <w:p w14:paraId="4E9B1C16">
            <w:pPr>
              <w:autoSpaceDE w:val="0"/>
              <w:autoSpaceDN w:val="0"/>
              <w:adjustRightInd w:val="0"/>
              <w:spacing w:line="288" w:lineRule="auto"/>
              <w:ind w:left="107"/>
              <w:jc w:val="left"/>
              <w:rPr>
                <w:rFonts w:ascii="宋体" w:hAnsi="宋体"/>
                <w:b/>
                <w:color w:val="auto"/>
                <w:kern w:val="0"/>
                <w:sz w:val="21"/>
                <w:szCs w:val="21"/>
                <w:highlight w:val="none"/>
              </w:rPr>
            </w:pPr>
            <w:r>
              <w:rPr>
                <w:rFonts w:hint="eastAsia" w:ascii="宋体" w:hAnsi="宋体"/>
                <w:b/>
                <w:color w:val="auto"/>
                <w:kern w:val="0"/>
                <w:sz w:val="21"/>
                <w:szCs w:val="21"/>
                <w:highlight w:val="none"/>
              </w:rPr>
              <w:t>第二信封（报价文件）评分分值构成：</w:t>
            </w:r>
          </w:p>
          <w:p w14:paraId="1B1D6C0B">
            <w:pPr>
              <w:autoSpaceDE w:val="0"/>
              <w:autoSpaceDN w:val="0"/>
              <w:adjustRightInd w:val="0"/>
              <w:spacing w:line="288" w:lineRule="auto"/>
              <w:ind w:left="107"/>
              <w:jc w:val="left"/>
              <w:rPr>
                <w:rFonts w:ascii="宋体" w:hAnsi="宋体"/>
                <w:color w:val="auto"/>
                <w:sz w:val="21"/>
                <w:szCs w:val="21"/>
                <w:highlight w:val="none"/>
              </w:rPr>
            </w:pPr>
            <w:r>
              <w:rPr>
                <w:rFonts w:hint="eastAsia" w:ascii="宋体" w:hAnsi="宋体"/>
                <w:color w:val="auto"/>
                <w:sz w:val="21"/>
                <w:szCs w:val="21"/>
                <w:highlight w:val="none"/>
              </w:rPr>
              <w:t>评标价：10分</w:t>
            </w:r>
          </w:p>
        </w:tc>
      </w:tr>
      <w:tr w14:paraId="193B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873" w:type="dxa"/>
            <w:vAlign w:val="center"/>
          </w:tcPr>
          <w:p w14:paraId="75C60B67">
            <w:pPr>
              <w:spacing w:line="288" w:lineRule="auto"/>
              <w:ind w:right="113"/>
              <w:jc w:val="center"/>
              <w:rPr>
                <w:rFonts w:ascii="宋体" w:hAnsi="宋体"/>
                <w:color w:val="auto"/>
                <w:sz w:val="21"/>
                <w:szCs w:val="21"/>
                <w:highlight w:val="none"/>
              </w:rPr>
            </w:pPr>
            <w:r>
              <w:rPr>
                <w:rFonts w:hint="eastAsia" w:ascii="宋体" w:hAnsi="宋体"/>
                <w:color w:val="auto"/>
                <w:sz w:val="21"/>
                <w:szCs w:val="21"/>
                <w:highlight w:val="none"/>
              </w:rPr>
              <w:t>2.2.2</w:t>
            </w:r>
          </w:p>
        </w:tc>
        <w:tc>
          <w:tcPr>
            <w:tcW w:w="1245" w:type="dxa"/>
            <w:vAlign w:val="center"/>
          </w:tcPr>
          <w:p w14:paraId="1ECC420A">
            <w:pPr>
              <w:spacing w:line="288" w:lineRule="auto"/>
              <w:ind w:right="113"/>
              <w:jc w:val="center"/>
              <w:rPr>
                <w:rFonts w:ascii="宋体" w:hAnsi="宋体"/>
                <w:color w:val="auto"/>
                <w:sz w:val="21"/>
                <w:szCs w:val="21"/>
                <w:highlight w:val="none"/>
              </w:rPr>
            </w:pPr>
            <w:r>
              <w:rPr>
                <w:rFonts w:hint="eastAsia" w:ascii="宋体" w:hAnsi="宋体"/>
                <w:color w:val="auto"/>
                <w:sz w:val="21"/>
                <w:szCs w:val="21"/>
                <w:highlight w:val="none"/>
              </w:rPr>
              <w:t>评标基准价计算</w:t>
            </w:r>
          </w:p>
          <w:p w14:paraId="3F40F238">
            <w:pPr>
              <w:spacing w:line="288" w:lineRule="auto"/>
              <w:ind w:right="113"/>
              <w:jc w:val="center"/>
              <w:rPr>
                <w:rFonts w:ascii="宋体" w:hAnsi="宋体"/>
                <w:color w:val="auto"/>
                <w:sz w:val="21"/>
                <w:szCs w:val="21"/>
                <w:highlight w:val="none"/>
              </w:rPr>
            </w:pPr>
            <w:r>
              <w:rPr>
                <w:rFonts w:hint="eastAsia" w:ascii="宋体" w:hAnsi="宋体"/>
                <w:color w:val="auto"/>
                <w:sz w:val="21"/>
                <w:szCs w:val="21"/>
                <w:highlight w:val="none"/>
              </w:rPr>
              <w:t>方法</w:t>
            </w:r>
          </w:p>
        </w:tc>
        <w:tc>
          <w:tcPr>
            <w:tcW w:w="7814" w:type="dxa"/>
            <w:vAlign w:val="center"/>
          </w:tcPr>
          <w:p w14:paraId="7D9BB2CB">
            <w:pPr>
              <w:spacing w:line="288" w:lineRule="auto"/>
              <w:ind w:right="113"/>
              <w:rPr>
                <w:rFonts w:ascii="宋体" w:hAnsi="宋体"/>
                <w:color w:val="auto"/>
                <w:sz w:val="21"/>
                <w:szCs w:val="21"/>
                <w:highlight w:val="none"/>
              </w:rPr>
            </w:pPr>
            <w:r>
              <w:rPr>
                <w:rFonts w:hint="eastAsia" w:ascii="宋体" w:hAnsi="宋体"/>
                <w:color w:val="auto"/>
                <w:sz w:val="21"/>
                <w:szCs w:val="21"/>
                <w:highlight w:val="none"/>
              </w:rPr>
              <w:t>评标基准价的计算：</w:t>
            </w:r>
          </w:p>
          <w:p w14:paraId="7F6DCCE7">
            <w:pPr>
              <w:spacing w:line="288" w:lineRule="auto"/>
              <w:ind w:left="113" w:right="113"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所有通过第一个信封评审的投标文件，由评标委员会开启第二个信封，并当场计算并宣布评标基准价。</w:t>
            </w:r>
          </w:p>
          <w:p w14:paraId="698303E2">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（1）评标价的确定：</w:t>
            </w:r>
          </w:p>
          <w:p w14:paraId="55505C1A">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评标价=投标函文字报价</w:t>
            </w:r>
          </w:p>
          <w:p w14:paraId="467D51C4">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（2）评标价平均值的计算：</w:t>
            </w:r>
          </w:p>
          <w:p w14:paraId="799A83EC">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除按第二章“投标人须知”第5.2.4项规定开标现场被宣布为不进入评标基准价计算的投标报价之外的投标人评标价，所有投标人的评标价去掉n1个最高评标价和n2个最低评标价后的算术平均值即为评标价平均值：</w:t>
            </w:r>
          </w:p>
          <w:p w14:paraId="0C3AD177">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如果参与评标价平均值计算的投标人数量＜</w:t>
            </w:r>
            <w:r>
              <w:rPr>
                <w:rFonts w:hint="eastAsia" w:ascii="宋体" w:hAnsi="宋体"/>
                <w:color w:val="auto"/>
                <w:kern w:val="2"/>
                <w:sz w:val="21"/>
                <w:szCs w:val="21"/>
                <w:highlight w:val="none"/>
                <w:lang w:eastAsia="zh-CN"/>
              </w:rPr>
              <w:t>5</w:t>
            </w:r>
            <w:r>
              <w:rPr>
                <w:rFonts w:hint="eastAsia" w:ascii="宋体" w:hAnsi="宋体"/>
                <w:color w:val="auto"/>
                <w:kern w:val="2"/>
                <w:sz w:val="21"/>
                <w:szCs w:val="21"/>
                <w:highlight w:val="none"/>
              </w:rPr>
              <w:t>家时，n1=0，n2=0；</w:t>
            </w:r>
          </w:p>
          <w:p w14:paraId="07FDC9DE">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lang w:eastAsia="zh-CN"/>
              </w:rPr>
              <w:t>5</w:t>
            </w:r>
            <w:r>
              <w:rPr>
                <w:rFonts w:hint="eastAsia" w:ascii="宋体" w:hAnsi="宋体"/>
                <w:color w:val="auto"/>
                <w:kern w:val="2"/>
                <w:sz w:val="21"/>
                <w:szCs w:val="21"/>
                <w:highlight w:val="none"/>
              </w:rPr>
              <w:t>家≤参与评标价平均值计算的投标人数量＜</w:t>
            </w:r>
            <w:r>
              <w:rPr>
                <w:rFonts w:hint="eastAsia" w:ascii="宋体" w:hAnsi="宋体"/>
                <w:color w:val="auto"/>
                <w:kern w:val="2"/>
                <w:sz w:val="21"/>
                <w:szCs w:val="21"/>
                <w:highlight w:val="none"/>
                <w:lang w:eastAsia="zh-CN"/>
              </w:rPr>
              <w:t>7</w:t>
            </w:r>
            <w:r>
              <w:rPr>
                <w:rFonts w:hint="eastAsia" w:ascii="宋体" w:hAnsi="宋体"/>
                <w:color w:val="auto"/>
                <w:kern w:val="2"/>
                <w:sz w:val="21"/>
                <w:szCs w:val="21"/>
                <w:highlight w:val="none"/>
              </w:rPr>
              <w:t>家时，n1=1，n2=1；</w:t>
            </w:r>
          </w:p>
          <w:p w14:paraId="1116F906">
            <w:pPr>
              <w:spacing w:line="288" w:lineRule="auto"/>
              <w:ind w:left="113" w:right="113" w:firstLine="210" w:firstLineChars="100"/>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7</w:t>
            </w:r>
            <w:r>
              <w:rPr>
                <w:rFonts w:hint="eastAsia" w:ascii="宋体" w:hAnsi="宋体"/>
                <w:color w:val="auto"/>
                <w:kern w:val="2"/>
                <w:sz w:val="21"/>
                <w:szCs w:val="21"/>
                <w:highlight w:val="none"/>
              </w:rPr>
              <w:t>家≤参与评标价平均值计算的投标人数量＜</w:t>
            </w:r>
            <w:r>
              <w:rPr>
                <w:rFonts w:hint="eastAsia" w:ascii="宋体" w:hAnsi="宋体"/>
                <w:color w:val="auto"/>
                <w:kern w:val="2"/>
                <w:sz w:val="21"/>
                <w:szCs w:val="21"/>
                <w:highlight w:val="none"/>
                <w:lang w:val="en-US" w:eastAsia="zh-CN"/>
              </w:rPr>
              <w:t>9</w:t>
            </w:r>
            <w:r>
              <w:rPr>
                <w:rFonts w:hint="eastAsia" w:ascii="宋体" w:hAnsi="宋体"/>
                <w:color w:val="auto"/>
                <w:kern w:val="2"/>
                <w:sz w:val="21"/>
                <w:szCs w:val="21"/>
                <w:highlight w:val="none"/>
              </w:rPr>
              <w:t>家时，n1=</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，n2=</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w:t>
            </w:r>
          </w:p>
          <w:p w14:paraId="5838DEBD">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参与评标价平均值计算的投标人数量≥</w:t>
            </w:r>
            <w:r>
              <w:rPr>
                <w:rFonts w:hint="eastAsia" w:ascii="宋体" w:hAnsi="宋体"/>
                <w:color w:val="auto"/>
                <w:kern w:val="2"/>
                <w:sz w:val="21"/>
                <w:szCs w:val="21"/>
                <w:highlight w:val="none"/>
                <w:lang w:eastAsia="zh-CN"/>
              </w:rPr>
              <w:t>9</w:t>
            </w:r>
            <w:r>
              <w:rPr>
                <w:rFonts w:hint="eastAsia" w:ascii="宋体" w:hAnsi="宋体"/>
                <w:color w:val="auto"/>
                <w:kern w:val="2"/>
                <w:sz w:val="21"/>
                <w:szCs w:val="21"/>
                <w:highlight w:val="none"/>
              </w:rPr>
              <w:t>家时，n1=</w:t>
            </w:r>
            <w:r>
              <w:rPr>
                <w:rFonts w:hint="eastAsia" w:ascii="宋体" w:hAnsi="宋体"/>
                <w:color w:val="auto"/>
                <w:kern w:val="2"/>
                <w:sz w:val="21"/>
                <w:szCs w:val="21"/>
                <w:highlight w:val="none"/>
                <w:lang w:eastAsia="zh-CN"/>
              </w:rPr>
              <w:t>3</w:t>
            </w:r>
            <w:r>
              <w:rPr>
                <w:rFonts w:hint="eastAsia" w:ascii="宋体" w:hAnsi="宋体"/>
                <w:color w:val="auto"/>
                <w:kern w:val="2"/>
                <w:sz w:val="21"/>
                <w:szCs w:val="21"/>
                <w:highlight w:val="none"/>
              </w:rPr>
              <w:t>，n2=</w:t>
            </w:r>
            <w:r>
              <w:rPr>
                <w:rFonts w:hint="eastAsia" w:ascii="宋体" w:hAnsi="宋体"/>
                <w:color w:val="auto"/>
                <w:kern w:val="2"/>
                <w:sz w:val="21"/>
                <w:szCs w:val="21"/>
                <w:highlight w:val="none"/>
                <w:lang w:eastAsia="zh-CN"/>
              </w:rPr>
              <w:t>3</w:t>
            </w:r>
            <w:r>
              <w:rPr>
                <w:rFonts w:hint="eastAsia" w:ascii="宋体" w:hAnsi="宋体"/>
                <w:color w:val="auto"/>
                <w:kern w:val="2"/>
                <w:sz w:val="21"/>
                <w:szCs w:val="21"/>
                <w:highlight w:val="none"/>
              </w:rPr>
              <w:t>；</w:t>
            </w:r>
          </w:p>
          <w:p w14:paraId="1A6E6D90">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（3）评标基准价的确定：评标价平均值直接作为评标基准价。</w:t>
            </w:r>
          </w:p>
          <w:p w14:paraId="6D5E4F3A">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1CC84C08">
            <w:pPr>
              <w:spacing w:line="288" w:lineRule="auto"/>
              <w:ind w:left="113" w:right="113" w:firstLine="210" w:firstLineChars="100"/>
              <w:rPr>
                <w:rFonts w:ascii="宋体" w:hAnsi="宋体"/>
                <w:color w:val="auto"/>
                <w:sz w:val="21"/>
                <w:szCs w:val="21"/>
                <w:highlight w:val="none"/>
              </w:rPr>
            </w:pPr>
            <w:r>
              <w:rPr>
                <w:rFonts w:hint="eastAsia" w:ascii="宋体" w:hAnsi="宋体"/>
                <w:color w:val="auto"/>
                <w:kern w:val="2"/>
                <w:sz w:val="21"/>
                <w:szCs w:val="21"/>
                <w:highlight w:val="none"/>
              </w:rPr>
              <w:t>评标价平均值、评标基准价保留小数点后两位，小数点后第三位四舍五入。</w:t>
            </w:r>
          </w:p>
        </w:tc>
      </w:tr>
      <w:tr w14:paraId="7A8D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73" w:type="dxa"/>
            <w:vAlign w:val="center"/>
          </w:tcPr>
          <w:p w14:paraId="0CC0D3EC">
            <w:pPr>
              <w:spacing w:line="288" w:lineRule="auto"/>
              <w:ind w:right="113"/>
              <w:jc w:val="center"/>
              <w:rPr>
                <w:rFonts w:ascii="宋体" w:hAnsi="宋体"/>
                <w:color w:val="auto"/>
                <w:sz w:val="21"/>
                <w:szCs w:val="21"/>
                <w:highlight w:val="none"/>
              </w:rPr>
            </w:pPr>
            <w:r>
              <w:rPr>
                <w:rFonts w:hint="eastAsia" w:ascii="宋体" w:hAnsi="宋体"/>
                <w:color w:val="auto"/>
                <w:sz w:val="21"/>
                <w:szCs w:val="21"/>
                <w:highlight w:val="none"/>
              </w:rPr>
              <w:t>2.2.3</w:t>
            </w:r>
          </w:p>
        </w:tc>
        <w:tc>
          <w:tcPr>
            <w:tcW w:w="1245" w:type="dxa"/>
            <w:vAlign w:val="center"/>
          </w:tcPr>
          <w:p w14:paraId="61046A7D">
            <w:pPr>
              <w:spacing w:line="288" w:lineRule="auto"/>
              <w:ind w:left="113" w:right="113"/>
              <w:jc w:val="center"/>
              <w:rPr>
                <w:rFonts w:ascii="宋体" w:hAnsi="宋体"/>
                <w:color w:val="auto"/>
                <w:sz w:val="21"/>
                <w:szCs w:val="21"/>
                <w:highlight w:val="none"/>
              </w:rPr>
            </w:pPr>
            <w:r>
              <w:rPr>
                <w:rFonts w:hint="eastAsia" w:ascii="宋体" w:hAnsi="宋体"/>
                <w:color w:val="auto"/>
                <w:spacing w:val="-6"/>
                <w:sz w:val="21"/>
                <w:szCs w:val="21"/>
                <w:highlight w:val="none"/>
              </w:rPr>
              <w:t>评标价的偏差率计算公式</w:t>
            </w:r>
          </w:p>
        </w:tc>
        <w:tc>
          <w:tcPr>
            <w:tcW w:w="7814" w:type="dxa"/>
            <w:vAlign w:val="center"/>
          </w:tcPr>
          <w:p w14:paraId="69C97F82">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偏差率=100%×（投标人评标价-评标基准价）/评标基准价</w:t>
            </w:r>
          </w:p>
          <w:p w14:paraId="77F3ADAD">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偏差率保留</w:t>
            </w:r>
            <w:r>
              <w:rPr>
                <w:rFonts w:hint="eastAsia" w:ascii="宋体" w:hAnsi="宋体"/>
                <w:color w:val="auto"/>
                <w:sz w:val="21"/>
                <w:szCs w:val="21"/>
                <w:highlight w:val="none"/>
                <w:u w:val="single"/>
              </w:rPr>
              <w:t>2</w:t>
            </w:r>
            <w:r>
              <w:rPr>
                <w:rFonts w:hint="eastAsia" w:ascii="宋体" w:hAnsi="宋体"/>
                <w:color w:val="auto"/>
                <w:sz w:val="21"/>
                <w:szCs w:val="21"/>
                <w:highlight w:val="none"/>
              </w:rPr>
              <w:t>位小数</w:t>
            </w:r>
          </w:p>
        </w:tc>
      </w:tr>
      <w:tr w14:paraId="30C6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73" w:type="dxa"/>
            <w:vAlign w:val="center"/>
          </w:tcPr>
          <w:p w14:paraId="0C33B50D">
            <w:pPr>
              <w:spacing w:line="288" w:lineRule="auto"/>
              <w:ind w:left="113" w:right="113"/>
              <w:rPr>
                <w:rFonts w:ascii="宋体" w:hAnsi="宋体"/>
                <w:color w:val="auto"/>
                <w:sz w:val="21"/>
                <w:szCs w:val="21"/>
                <w:highlight w:val="none"/>
              </w:rPr>
            </w:pPr>
            <w:r>
              <w:rPr>
                <w:rFonts w:hint="eastAsia" w:ascii="宋体" w:hAnsi="宋体"/>
                <w:color w:val="auto"/>
                <w:sz w:val="21"/>
                <w:szCs w:val="21"/>
                <w:highlight w:val="none"/>
              </w:rPr>
              <w:t>3.6.1</w:t>
            </w:r>
          </w:p>
        </w:tc>
        <w:tc>
          <w:tcPr>
            <w:tcW w:w="1245" w:type="dxa"/>
            <w:vAlign w:val="center"/>
          </w:tcPr>
          <w:p w14:paraId="3F125D57">
            <w:pPr>
              <w:spacing w:line="288" w:lineRule="auto"/>
              <w:ind w:left="0" w:right="113"/>
              <w:jc w:val="center"/>
              <w:rPr>
                <w:rFonts w:ascii="宋体" w:hAnsi="宋体"/>
                <w:color w:val="auto"/>
                <w:sz w:val="21"/>
                <w:szCs w:val="21"/>
                <w:highlight w:val="none"/>
              </w:rPr>
            </w:pPr>
            <w:r>
              <w:rPr>
                <w:rFonts w:hint="eastAsia" w:ascii="宋体" w:hAnsi="宋体"/>
                <w:color w:val="auto"/>
                <w:sz w:val="21"/>
                <w:szCs w:val="21"/>
                <w:highlight w:val="none"/>
              </w:rPr>
              <w:t>投标文件相关信息核查</w:t>
            </w:r>
          </w:p>
        </w:tc>
        <w:tc>
          <w:tcPr>
            <w:tcW w:w="7814" w:type="dxa"/>
            <w:vAlign w:val="center"/>
          </w:tcPr>
          <w:p w14:paraId="7C9C625C">
            <w:pPr>
              <w:spacing w:line="288" w:lineRule="auto"/>
              <w:ind w:left="113" w:right="113"/>
              <w:rPr>
                <w:rFonts w:ascii="宋体" w:hAnsi="宋体"/>
                <w:color w:val="auto"/>
                <w:sz w:val="21"/>
                <w:szCs w:val="21"/>
                <w:highlight w:val="none"/>
              </w:rPr>
            </w:pPr>
            <w:r>
              <w:rPr>
                <w:rFonts w:hint="eastAsia" w:ascii="宋体" w:hAnsi="宋体"/>
                <w:color w:val="auto"/>
                <w:sz w:val="21"/>
                <w:szCs w:val="21"/>
                <w:highlight w:val="none"/>
              </w:rPr>
              <w:t>在评标过程中，评标委员会应对以下信息进行查询：</w:t>
            </w:r>
          </w:p>
          <w:p w14:paraId="0A445A16">
            <w:pPr>
              <w:spacing w:line="288" w:lineRule="auto"/>
              <w:ind w:left="113" w:right="113" w:firstLine="420" w:firstLineChars="200"/>
              <w:rPr>
                <w:rFonts w:ascii="宋体" w:hAnsi="宋体"/>
                <w:color w:val="auto"/>
                <w:sz w:val="21"/>
                <w:szCs w:val="21"/>
                <w:highlight w:val="none"/>
              </w:rPr>
            </w:pPr>
            <w:r>
              <w:rPr>
                <w:rFonts w:hint="eastAsia" w:ascii="宋体" w:hAnsi="宋体"/>
                <w:color w:val="auto"/>
                <w:sz w:val="21"/>
                <w:szCs w:val="21"/>
                <w:highlight w:val="none"/>
              </w:rPr>
              <w:t>投标人信用情况网页截图内容与在“国家企业信用信息公示系统” 中严重违法失信企业名单（均不含分公司）或在“信用中国”网站“中失信被执行人名单、企业经营异常情况名录、税收违法黑名单、政府采购严重违法失信名单（均不含分公司）的复核结果一致。</w:t>
            </w:r>
          </w:p>
          <w:p w14:paraId="52121C76">
            <w:pPr>
              <w:spacing w:line="288" w:lineRule="auto"/>
              <w:ind w:left="113" w:right="113" w:firstLine="420" w:firstLineChars="200"/>
              <w:rPr>
                <w:rFonts w:ascii="宋体" w:hAnsi="宋体"/>
                <w:color w:val="auto"/>
                <w:sz w:val="21"/>
                <w:szCs w:val="21"/>
                <w:highlight w:val="none"/>
              </w:rPr>
            </w:pPr>
            <w:r>
              <w:rPr>
                <w:rFonts w:hint="eastAsia" w:ascii="宋体" w:hAnsi="宋体"/>
                <w:color w:val="auto"/>
                <w:sz w:val="21"/>
                <w:szCs w:val="21"/>
                <w:highlight w:val="none"/>
              </w:rPr>
              <w:t>前述项如投标人未提供相关网页截图或所附截图与复核结果不一致，评标委员会应否决其投标。</w:t>
            </w:r>
          </w:p>
          <w:p w14:paraId="56068CC9">
            <w:pPr>
              <w:spacing w:line="288" w:lineRule="auto"/>
              <w:ind w:left="113" w:right="113" w:firstLine="420" w:firstLineChars="200"/>
              <w:rPr>
                <w:rFonts w:ascii="宋体" w:hAnsi="宋体"/>
                <w:color w:val="auto"/>
                <w:sz w:val="21"/>
                <w:szCs w:val="21"/>
                <w:highlight w:val="none"/>
              </w:rPr>
            </w:pPr>
            <w:r>
              <w:rPr>
                <w:rFonts w:hint="eastAsia" w:ascii="宋体" w:hAnsi="宋体"/>
                <w:color w:val="auto"/>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tc>
      </w:tr>
    </w:tbl>
    <w:p w14:paraId="24C05771">
      <w:pPr>
        <w:spacing w:line="288" w:lineRule="auto"/>
        <w:jc w:val="right"/>
        <w:rPr>
          <w:rFonts w:ascii="宋体" w:hAnsi="宋体"/>
          <w:color w:val="auto"/>
          <w:szCs w:val="21"/>
          <w:highlight w:val="none"/>
        </w:rPr>
      </w:pPr>
      <w:r>
        <w:rPr>
          <w:rFonts w:hint="eastAsia" w:ascii="宋体" w:hAnsi="宋体"/>
          <w:color w:val="auto"/>
          <w:sz w:val="24"/>
          <w:highlight w:val="none"/>
        </w:rPr>
        <w:t>续上表</w:t>
      </w:r>
    </w:p>
    <w:tbl>
      <w:tblPr>
        <w:tblStyle w:val="6"/>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96"/>
      </w:tblGrid>
      <w:tr w14:paraId="41A9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14:paraId="7AC2F8A7">
            <w:pPr>
              <w:pStyle w:val="5"/>
              <w:spacing w:line="288" w:lineRule="auto"/>
              <w:jc w:val="center"/>
              <w:rPr>
                <w:rFonts w:hAnsi="宋体"/>
                <w:color w:val="auto"/>
                <w:szCs w:val="21"/>
                <w:highlight w:val="none"/>
              </w:rPr>
            </w:pPr>
            <w:r>
              <w:rPr>
                <w:rFonts w:hint="eastAsia" w:hAnsi="宋体"/>
                <w:color w:val="auto"/>
                <w:szCs w:val="21"/>
                <w:highlight w:val="none"/>
              </w:rPr>
              <w:t>评分因素与权重分值</w:t>
            </w:r>
          </w:p>
        </w:tc>
        <w:tc>
          <w:tcPr>
            <w:tcW w:w="5496" w:type="dxa"/>
            <w:vMerge w:val="restart"/>
            <w:vAlign w:val="center"/>
          </w:tcPr>
          <w:p w14:paraId="19CBD24F">
            <w:pPr>
              <w:pStyle w:val="5"/>
              <w:spacing w:line="288" w:lineRule="auto"/>
              <w:jc w:val="center"/>
              <w:rPr>
                <w:rFonts w:hAnsi="宋体"/>
                <w:color w:val="auto"/>
                <w:szCs w:val="21"/>
                <w:highlight w:val="none"/>
              </w:rPr>
            </w:pPr>
            <w:r>
              <w:rPr>
                <w:rFonts w:hint="eastAsia" w:hAnsi="宋体"/>
                <w:color w:val="auto"/>
                <w:szCs w:val="21"/>
                <w:highlight w:val="none"/>
              </w:rPr>
              <w:t>评分标准</w:t>
            </w:r>
          </w:p>
        </w:tc>
      </w:tr>
      <w:tr w14:paraId="6C6C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14:paraId="6A5EAD11">
            <w:pPr>
              <w:pStyle w:val="5"/>
              <w:spacing w:line="288" w:lineRule="auto"/>
              <w:jc w:val="center"/>
              <w:rPr>
                <w:rFonts w:hAnsi="宋体"/>
                <w:color w:val="auto"/>
                <w:szCs w:val="21"/>
                <w:highlight w:val="none"/>
              </w:rPr>
            </w:pPr>
            <w:r>
              <w:rPr>
                <w:rFonts w:hint="eastAsia" w:hAnsi="宋体"/>
                <w:color w:val="auto"/>
                <w:szCs w:val="21"/>
                <w:highlight w:val="none"/>
              </w:rPr>
              <w:t>条款号</w:t>
            </w:r>
          </w:p>
        </w:tc>
        <w:tc>
          <w:tcPr>
            <w:tcW w:w="741" w:type="dxa"/>
            <w:vAlign w:val="center"/>
          </w:tcPr>
          <w:p w14:paraId="3F017F19">
            <w:pPr>
              <w:pStyle w:val="5"/>
              <w:spacing w:line="288" w:lineRule="auto"/>
              <w:jc w:val="center"/>
              <w:rPr>
                <w:rFonts w:hAnsi="宋体"/>
                <w:color w:val="auto"/>
                <w:szCs w:val="21"/>
                <w:highlight w:val="none"/>
              </w:rPr>
            </w:pPr>
            <w:r>
              <w:rPr>
                <w:rFonts w:hint="eastAsia" w:hAnsi="宋体"/>
                <w:color w:val="auto"/>
                <w:szCs w:val="21"/>
                <w:highlight w:val="none"/>
              </w:rPr>
              <w:t>评分因素</w:t>
            </w:r>
          </w:p>
        </w:tc>
        <w:tc>
          <w:tcPr>
            <w:tcW w:w="831" w:type="dxa"/>
            <w:vAlign w:val="center"/>
          </w:tcPr>
          <w:p w14:paraId="3322F48D">
            <w:pPr>
              <w:pStyle w:val="5"/>
              <w:spacing w:line="288" w:lineRule="auto"/>
              <w:jc w:val="center"/>
              <w:rPr>
                <w:rFonts w:hAnsi="宋体"/>
                <w:color w:val="auto"/>
                <w:szCs w:val="21"/>
                <w:highlight w:val="none"/>
              </w:rPr>
            </w:pPr>
            <w:r>
              <w:rPr>
                <w:rFonts w:hint="eastAsia" w:hAnsi="宋体"/>
                <w:color w:val="auto"/>
                <w:szCs w:val="21"/>
                <w:highlight w:val="none"/>
              </w:rPr>
              <w:t>评分因素 权重分值</w:t>
            </w:r>
          </w:p>
        </w:tc>
        <w:tc>
          <w:tcPr>
            <w:tcW w:w="1209" w:type="dxa"/>
            <w:vAlign w:val="center"/>
          </w:tcPr>
          <w:p w14:paraId="737147BA">
            <w:pPr>
              <w:pStyle w:val="5"/>
              <w:spacing w:line="288" w:lineRule="auto"/>
              <w:jc w:val="center"/>
              <w:rPr>
                <w:rFonts w:hAnsi="宋体"/>
                <w:color w:val="auto"/>
                <w:szCs w:val="21"/>
                <w:highlight w:val="none"/>
              </w:rPr>
            </w:pPr>
            <w:r>
              <w:rPr>
                <w:rStyle w:val="10"/>
                <w:color w:val="auto"/>
                <w:highlight w:val="none"/>
              </w:rPr>
              <w:t>各评分因素细分项</w:t>
            </w:r>
          </w:p>
        </w:tc>
        <w:tc>
          <w:tcPr>
            <w:tcW w:w="634" w:type="dxa"/>
            <w:vAlign w:val="center"/>
          </w:tcPr>
          <w:p w14:paraId="2D670806">
            <w:pPr>
              <w:pStyle w:val="5"/>
              <w:spacing w:line="288" w:lineRule="auto"/>
              <w:jc w:val="center"/>
              <w:rPr>
                <w:rFonts w:hAnsi="宋体"/>
                <w:color w:val="auto"/>
                <w:szCs w:val="21"/>
                <w:highlight w:val="none"/>
              </w:rPr>
            </w:pPr>
            <w:r>
              <w:rPr>
                <w:rFonts w:hint="eastAsia" w:hAnsi="宋体"/>
                <w:color w:val="auto"/>
                <w:szCs w:val="21"/>
                <w:highlight w:val="none"/>
              </w:rPr>
              <w:t>分值</w:t>
            </w:r>
          </w:p>
        </w:tc>
        <w:tc>
          <w:tcPr>
            <w:tcW w:w="5496" w:type="dxa"/>
            <w:vMerge w:val="continue"/>
            <w:vAlign w:val="center"/>
          </w:tcPr>
          <w:p w14:paraId="346963FB">
            <w:pPr>
              <w:pStyle w:val="5"/>
              <w:spacing w:line="288" w:lineRule="auto"/>
              <w:jc w:val="center"/>
              <w:rPr>
                <w:rFonts w:hAnsi="宋体"/>
                <w:color w:val="auto"/>
                <w:szCs w:val="21"/>
                <w:highlight w:val="none"/>
              </w:rPr>
            </w:pPr>
          </w:p>
        </w:tc>
      </w:tr>
      <w:tr w14:paraId="3369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41" w:type="dxa"/>
            <w:vMerge w:val="restart"/>
            <w:vAlign w:val="center"/>
          </w:tcPr>
          <w:p w14:paraId="483F08D1">
            <w:pPr>
              <w:pStyle w:val="5"/>
              <w:spacing w:line="288" w:lineRule="auto"/>
              <w:jc w:val="center"/>
              <w:rPr>
                <w:rFonts w:hAnsi="宋体"/>
                <w:color w:val="auto"/>
                <w:szCs w:val="21"/>
                <w:highlight w:val="none"/>
              </w:rPr>
            </w:pPr>
            <w:r>
              <w:rPr>
                <w:rFonts w:hint="eastAsia" w:hAnsi="宋体"/>
                <w:color w:val="auto"/>
                <w:szCs w:val="21"/>
                <w:highlight w:val="none"/>
              </w:rPr>
              <w:t>2.2.4（1）</w:t>
            </w:r>
          </w:p>
        </w:tc>
        <w:tc>
          <w:tcPr>
            <w:tcW w:w="741" w:type="dxa"/>
            <w:vMerge w:val="restart"/>
            <w:vAlign w:val="center"/>
          </w:tcPr>
          <w:p w14:paraId="29D22809">
            <w:pPr>
              <w:pStyle w:val="5"/>
              <w:spacing w:line="288" w:lineRule="auto"/>
              <w:jc w:val="center"/>
              <w:rPr>
                <w:rFonts w:hint="eastAsia" w:hAnsi="宋体"/>
                <w:color w:val="auto"/>
                <w:szCs w:val="21"/>
                <w:highlight w:val="none"/>
              </w:rPr>
            </w:pPr>
            <w:r>
              <w:rPr>
                <w:rFonts w:hint="eastAsia" w:hAnsi="宋体"/>
                <w:color w:val="auto"/>
                <w:szCs w:val="21"/>
                <w:highlight w:val="none"/>
              </w:rPr>
              <w:t>技术建议书</w:t>
            </w:r>
          </w:p>
          <w:p w14:paraId="12B22037">
            <w:pPr>
              <w:pStyle w:val="5"/>
              <w:spacing w:line="288" w:lineRule="auto"/>
              <w:jc w:val="center"/>
              <w:rPr>
                <w:rFonts w:hint="eastAsia" w:hAnsi="宋体" w:eastAsia="宋体"/>
                <w:color w:val="auto"/>
                <w:szCs w:val="21"/>
                <w:highlight w:val="none"/>
                <w:lang w:eastAsia="zh-CN"/>
              </w:rPr>
            </w:pPr>
            <w:r>
              <w:rPr>
                <w:rFonts w:hint="eastAsia" w:hAnsi="宋体"/>
                <w:color w:val="auto"/>
                <w:szCs w:val="21"/>
                <w:highlight w:val="none"/>
                <w:lang w:eastAsia="zh-CN"/>
              </w:rPr>
              <w:t>（</w:t>
            </w:r>
            <w:r>
              <w:rPr>
                <w:rFonts w:hint="eastAsia" w:hAnsi="宋体"/>
                <w:color w:val="auto"/>
                <w:szCs w:val="21"/>
                <w:highlight w:val="none"/>
                <w:lang w:val="en-US" w:eastAsia="zh-CN"/>
              </w:rPr>
              <w:t>暗标</w:t>
            </w:r>
            <w:r>
              <w:rPr>
                <w:rFonts w:hint="eastAsia" w:hAnsi="宋体"/>
                <w:color w:val="auto"/>
                <w:szCs w:val="21"/>
                <w:highlight w:val="none"/>
                <w:lang w:eastAsia="zh-CN"/>
              </w:rPr>
              <w:t>）</w:t>
            </w:r>
          </w:p>
        </w:tc>
        <w:tc>
          <w:tcPr>
            <w:tcW w:w="831" w:type="dxa"/>
            <w:vMerge w:val="restart"/>
            <w:vAlign w:val="center"/>
          </w:tcPr>
          <w:p w14:paraId="6A74AF35">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65</w:t>
            </w:r>
            <w:r>
              <w:rPr>
                <w:rFonts w:hint="eastAsia" w:hAnsi="宋体"/>
                <w:color w:val="auto"/>
                <w:szCs w:val="21"/>
                <w:highlight w:val="none"/>
              </w:rPr>
              <w:t>分</w:t>
            </w:r>
          </w:p>
        </w:tc>
        <w:tc>
          <w:tcPr>
            <w:tcW w:w="1209" w:type="dxa"/>
            <w:vMerge w:val="restart"/>
            <w:vAlign w:val="center"/>
          </w:tcPr>
          <w:p w14:paraId="4A0C2712">
            <w:pPr>
              <w:pStyle w:val="5"/>
              <w:spacing w:line="288" w:lineRule="auto"/>
              <w:jc w:val="center"/>
              <w:rPr>
                <w:rFonts w:hAnsi="宋体"/>
                <w:color w:val="auto"/>
                <w:szCs w:val="21"/>
                <w:highlight w:val="none"/>
              </w:rPr>
            </w:pPr>
            <w:r>
              <w:rPr>
                <w:rFonts w:hint="eastAsia" w:hAnsi="宋体"/>
                <w:color w:val="auto"/>
                <w:szCs w:val="21"/>
                <w:highlight w:val="none"/>
              </w:rPr>
              <w:t>对本招标项目工作范围和任务理解</w:t>
            </w:r>
          </w:p>
        </w:tc>
        <w:tc>
          <w:tcPr>
            <w:tcW w:w="634" w:type="dxa"/>
            <w:vMerge w:val="restart"/>
            <w:vAlign w:val="center"/>
          </w:tcPr>
          <w:p w14:paraId="2F812206">
            <w:pPr>
              <w:pStyle w:val="5"/>
              <w:spacing w:line="288" w:lineRule="auto"/>
              <w:jc w:val="center"/>
              <w:rPr>
                <w:rFonts w:hAnsi="宋体"/>
                <w:color w:val="auto"/>
                <w:szCs w:val="21"/>
                <w:highlight w:val="none"/>
              </w:rPr>
            </w:pPr>
            <w:r>
              <w:rPr>
                <w:rFonts w:hAnsi="宋体"/>
                <w:color w:val="auto"/>
                <w:szCs w:val="21"/>
                <w:highlight w:val="none"/>
              </w:rPr>
              <w:t>8</w:t>
            </w:r>
            <w:r>
              <w:rPr>
                <w:rFonts w:hint="eastAsia" w:hAnsi="宋体"/>
                <w:color w:val="auto"/>
                <w:szCs w:val="21"/>
                <w:highlight w:val="none"/>
              </w:rPr>
              <w:t>分</w:t>
            </w:r>
          </w:p>
        </w:tc>
        <w:tc>
          <w:tcPr>
            <w:tcW w:w="5496" w:type="dxa"/>
            <w:vAlign w:val="center"/>
          </w:tcPr>
          <w:p w14:paraId="7E4EE6A3">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理解基本准确，得</w:t>
            </w:r>
            <w:r>
              <w:rPr>
                <w:rFonts w:ascii="宋体" w:hAnsi="宋体"/>
                <w:color w:val="auto"/>
                <w:sz w:val="21"/>
                <w:szCs w:val="21"/>
                <w:highlight w:val="none"/>
              </w:rPr>
              <w:t>4.8</w:t>
            </w:r>
            <w:r>
              <w:rPr>
                <w:rFonts w:hint="eastAsia" w:ascii="宋体" w:hAnsi="宋体"/>
                <w:color w:val="auto"/>
                <w:sz w:val="21"/>
                <w:szCs w:val="21"/>
                <w:highlight w:val="none"/>
              </w:rPr>
              <w:t>分；</w:t>
            </w:r>
          </w:p>
        </w:tc>
      </w:tr>
      <w:tr w14:paraId="3F28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41" w:type="dxa"/>
            <w:vMerge w:val="continue"/>
            <w:vAlign w:val="center"/>
          </w:tcPr>
          <w:p w14:paraId="26214FA4">
            <w:pPr>
              <w:pStyle w:val="5"/>
              <w:spacing w:line="288" w:lineRule="auto"/>
              <w:jc w:val="center"/>
              <w:rPr>
                <w:rFonts w:hAnsi="宋体"/>
                <w:color w:val="auto"/>
                <w:szCs w:val="21"/>
                <w:highlight w:val="none"/>
              </w:rPr>
            </w:pPr>
          </w:p>
        </w:tc>
        <w:tc>
          <w:tcPr>
            <w:tcW w:w="741" w:type="dxa"/>
            <w:vMerge w:val="continue"/>
            <w:vAlign w:val="center"/>
          </w:tcPr>
          <w:p w14:paraId="0DEA98FE">
            <w:pPr>
              <w:pStyle w:val="5"/>
              <w:spacing w:line="288" w:lineRule="auto"/>
              <w:jc w:val="center"/>
              <w:rPr>
                <w:rFonts w:hAnsi="宋体"/>
                <w:color w:val="auto"/>
                <w:szCs w:val="21"/>
                <w:highlight w:val="none"/>
              </w:rPr>
            </w:pPr>
          </w:p>
        </w:tc>
        <w:tc>
          <w:tcPr>
            <w:tcW w:w="831" w:type="dxa"/>
            <w:vMerge w:val="continue"/>
            <w:vAlign w:val="center"/>
          </w:tcPr>
          <w:p w14:paraId="77B99B30">
            <w:pPr>
              <w:pStyle w:val="5"/>
              <w:spacing w:line="288" w:lineRule="auto"/>
              <w:jc w:val="center"/>
              <w:rPr>
                <w:rFonts w:hAnsi="宋体"/>
                <w:color w:val="auto"/>
                <w:szCs w:val="21"/>
                <w:highlight w:val="none"/>
              </w:rPr>
            </w:pPr>
          </w:p>
        </w:tc>
        <w:tc>
          <w:tcPr>
            <w:tcW w:w="1209" w:type="dxa"/>
            <w:vMerge w:val="continue"/>
          </w:tcPr>
          <w:p w14:paraId="630D6B6B">
            <w:pPr>
              <w:pStyle w:val="5"/>
              <w:spacing w:line="288" w:lineRule="auto"/>
              <w:jc w:val="center"/>
              <w:rPr>
                <w:rFonts w:hAnsi="宋体"/>
                <w:color w:val="auto"/>
                <w:szCs w:val="21"/>
                <w:highlight w:val="none"/>
              </w:rPr>
            </w:pPr>
          </w:p>
        </w:tc>
        <w:tc>
          <w:tcPr>
            <w:tcW w:w="634" w:type="dxa"/>
            <w:vMerge w:val="continue"/>
            <w:vAlign w:val="center"/>
          </w:tcPr>
          <w:p w14:paraId="6156A722">
            <w:pPr>
              <w:pStyle w:val="5"/>
              <w:spacing w:line="288" w:lineRule="auto"/>
              <w:jc w:val="center"/>
              <w:rPr>
                <w:rFonts w:hAnsi="宋体"/>
                <w:color w:val="auto"/>
                <w:szCs w:val="21"/>
                <w:highlight w:val="none"/>
              </w:rPr>
            </w:pPr>
          </w:p>
        </w:tc>
        <w:tc>
          <w:tcPr>
            <w:tcW w:w="5496" w:type="dxa"/>
            <w:vAlign w:val="center"/>
          </w:tcPr>
          <w:p w14:paraId="44EF4986">
            <w:pPr>
              <w:pStyle w:val="5"/>
              <w:spacing w:line="288" w:lineRule="auto"/>
              <w:jc w:val="left"/>
              <w:rPr>
                <w:rFonts w:hAnsi="宋体"/>
                <w:color w:val="auto"/>
                <w:spacing w:val="-4"/>
                <w:szCs w:val="21"/>
                <w:highlight w:val="none"/>
              </w:rPr>
            </w:pPr>
            <w:r>
              <w:rPr>
                <w:rFonts w:hint="eastAsia" w:hAnsi="宋体"/>
                <w:color w:val="auto"/>
                <w:szCs w:val="21"/>
                <w:highlight w:val="none"/>
              </w:rPr>
              <w:t>理解较准确，思路较清晰，得</w:t>
            </w:r>
            <w:r>
              <w:rPr>
                <w:rFonts w:hAnsi="宋体"/>
                <w:color w:val="auto"/>
                <w:szCs w:val="21"/>
                <w:highlight w:val="none"/>
              </w:rPr>
              <w:t>4.9</w:t>
            </w:r>
            <w:r>
              <w:rPr>
                <w:rFonts w:hint="eastAsia" w:hAnsi="宋体"/>
                <w:color w:val="auto"/>
                <w:szCs w:val="21"/>
                <w:highlight w:val="none"/>
              </w:rPr>
              <w:t>－</w:t>
            </w:r>
            <w:r>
              <w:rPr>
                <w:rFonts w:hAnsi="宋体"/>
                <w:color w:val="auto"/>
                <w:szCs w:val="21"/>
                <w:highlight w:val="none"/>
              </w:rPr>
              <w:t>6.4</w:t>
            </w:r>
            <w:r>
              <w:rPr>
                <w:rFonts w:hint="eastAsia" w:hAnsi="宋体"/>
                <w:color w:val="auto"/>
                <w:szCs w:val="21"/>
                <w:highlight w:val="none"/>
              </w:rPr>
              <w:t>分；</w:t>
            </w:r>
          </w:p>
        </w:tc>
      </w:tr>
      <w:tr w14:paraId="5779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380F8045">
            <w:pPr>
              <w:pStyle w:val="5"/>
              <w:spacing w:line="288" w:lineRule="auto"/>
              <w:jc w:val="center"/>
              <w:rPr>
                <w:rFonts w:hAnsi="宋体"/>
                <w:color w:val="auto"/>
                <w:szCs w:val="21"/>
                <w:highlight w:val="none"/>
              </w:rPr>
            </w:pPr>
          </w:p>
        </w:tc>
        <w:tc>
          <w:tcPr>
            <w:tcW w:w="741" w:type="dxa"/>
            <w:vMerge w:val="continue"/>
            <w:vAlign w:val="center"/>
          </w:tcPr>
          <w:p w14:paraId="3BC36C7F">
            <w:pPr>
              <w:pStyle w:val="5"/>
              <w:spacing w:line="288" w:lineRule="auto"/>
              <w:jc w:val="center"/>
              <w:rPr>
                <w:rFonts w:hAnsi="宋体"/>
                <w:color w:val="auto"/>
                <w:szCs w:val="21"/>
                <w:highlight w:val="none"/>
              </w:rPr>
            </w:pPr>
          </w:p>
        </w:tc>
        <w:tc>
          <w:tcPr>
            <w:tcW w:w="831" w:type="dxa"/>
            <w:vMerge w:val="continue"/>
            <w:vAlign w:val="center"/>
          </w:tcPr>
          <w:p w14:paraId="1E5561BD">
            <w:pPr>
              <w:pStyle w:val="5"/>
              <w:spacing w:line="288" w:lineRule="auto"/>
              <w:jc w:val="center"/>
              <w:rPr>
                <w:rFonts w:hAnsi="宋体"/>
                <w:color w:val="auto"/>
                <w:szCs w:val="21"/>
                <w:highlight w:val="none"/>
              </w:rPr>
            </w:pPr>
          </w:p>
        </w:tc>
        <w:tc>
          <w:tcPr>
            <w:tcW w:w="1209" w:type="dxa"/>
            <w:vMerge w:val="continue"/>
          </w:tcPr>
          <w:p w14:paraId="5F7D634A">
            <w:pPr>
              <w:pStyle w:val="5"/>
              <w:spacing w:line="288" w:lineRule="auto"/>
              <w:jc w:val="center"/>
              <w:rPr>
                <w:rFonts w:hAnsi="宋体"/>
                <w:color w:val="auto"/>
                <w:szCs w:val="21"/>
                <w:highlight w:val="none"/>
              </w:rPr>
            </w:pPr>
          </w:p>
        </w:tc>
        <w:tc>
          <w:tcPr>
            <w:tcW w:w="634" w:type="dxa"/>
            <w:vMerge w:val="continue"/>
            <w:vAlign w:val="center"/>
          </w:tcPr>
          <w:p w14:paraId="2CAB99E5">
            <w:pPr>
              <w:pStyle w:val="5"/>
              <w:spacing w:line="288" w:lineRule="auto"/>
              <w:jc w:val="center"/>
              <w:rPr>
                <w:rFonts w:hAnsi="宋体"/>
                <w:color w:val="auto"/>
                <w:szCs w:val="21"/>
                <w:highlight w:val="none"/>
              </w:rPr>
            </w:pPr>
          </w:p>
        </w:tc>
        <w:tc>
          <w:tcPr>
            <w:tcW w:w="5496" w:type="dxa"/>
            <w:vAlign w:val="center"/>
          </w:tcPr>
          <w:p w14:paraId="776F2257">
            <w:pPr>
              <w:pStyle w:val="5"/>
              <w:spacing w:line="288" w:lineRule="auto"/>
              <w:jc w:val="left"/>
              <w:rPr>
                <w:rFonts w:hAnsi="宋体"/>
                <w:color w:val="auto"/>
                <w:szCs w:val="21"/>
                <w:highlight w:val="none"/>
              </w:rPr>
            </w:pPr>
            <w:r>
              <w:rPr>
                <w:rFonts w:hint="eastAsia" w:hAnsi="宋体"/>
                <w:color w:val="auto"/>
                <w:szCs w:val="21"/>
                <w:highlight w:val="none"/>
              </w:rPr>
              <w:t>理解准确，思路清晰，全面、合理，符合项目要求，得</w:t>
            </w:r>
            <w:r>
              <w:rPr>
                <w:rFonts w:hAnsi="宋体"/>
                <w:color w:val="auto"/>
                <w:szCs w:val="21"/>
                <w:highlight w:val="none"/>
              </w:rPr>
              <w:t>6.5</w:t>
            </w:r>
            <w:r>
              <w:rPr>
                <w:rFonts w:hint="eastAsia" w:hAnsi="宋体"/>
                <w:color w:val="auto"/>
                <w:szCs w:val="21"/>
                <w:highlight w:val="none"/>
              </w:rPr>
              <w:t>－</w:t>
            </w:r>
            <w:r>
              <w:rPr>
                <w:rFonts w:hAnsi="宋体"/>
                <w:color w:val="auto"/>
                <w:szCs w:val="21"/>
                <w:highlight w:val="none"/>
              </w:rPr>
              <w:t>8</w:t>
            </w:r>
            <w:r>
              <w:rPr>
                <w:rFonts w:hint="eastAsia" w:hAnsi="宋体"/>
                <w:color w:val="auto"/>
                <w:szCs w:val="21"/>
                <w:highlight w:val="none"/>
              </w:rPr>
              <w:t>分；</w:t>
            </w:r>
          </w:p>
        </w:tc>
      </w:tr>
      <w:tr w14:paraId="56E6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14:paraId="071C06DC">
            <w:pPr>
              <w:pStyle w:val="5"/>
              <w:spacing w:line="288" w:lineRule="auto"/>
              <w:jc w:val="center"/>
              <w:rPr>
                <w:rFonts w:hAnsi="宋体"/>
                <w:color w:val="auto"/>
                <w:szCs w:val="21"/>
                <w:highlight w:val="none"/>
              </w:rPr>
            </w:pPr>
          </w:p>
        </w:tc>
        <w:tc>
          <w:tcPr>
            <w:tcW w:w="741" w:type="dxa"/>
            <w:vMerge w:val="continue"/>
          </w:tcPr>
          <w:p w14:paraId="225E09A4">
            <w:pPr>
              <w:pStyle w:val="5"/>
              <w:spacing w:line="288" w:lineRule="auto"/>
              <w:jc w:val="center"/>
              <w:rPr>
                <w:rFonts w:hAnsi="宋体"/>
                <w:color w:val="auto"/>
                <w:szCs w:val="21"/>
                <w:highlight w:val="none"/>
              </w:rPr>
            </w:pPr>
          </w:p>
        </w:tc>
        <w:tc>
          <w:tcPr>
            <w:tcW w:w="831" w:type="dxa"/>
            <w:vMerge w:val="continue"/>
            <w:vAlign w:val="center"/>
          </w:tcPr>
          <w:p w14:paraId="52D91A1C">
            <w:pPr>
              <w:pStyle w:val="5"/>
              <w:spacing w:line="288" w:lineRule="auto"/>
              <w:jc w:val="center"/>
              <w:rPr>
                <w:rFonts w:hAnsi="宋体"/>
                <w:color w:val="auto"/>
                <w:szCs w:val="21"/>
                <w:highlight w:val="none"/>
              </w:rPr>
            </w:pPr>
          </w:p>
        </w:tc>
        <w:tc>
          <w:tcPr>
            <w:tcW w:w="1209" w:type="dxa"/>
            <w:vMerge w:val="restart"/>
            <w:vAlign w:val="center"/>
          </w:tcPr>
          <w:p w14:paraId="21B4F397">
            <w:pPr>
              <w:pStyle w:val="5"/>
              <w:spacing w:line="288" w:lineRule="auto"/>
              <w:jc w:val="center"/>
              <w:rPr>
                <w:rFonts w:hAnsi="宋体"/>
                <w:color w:val="auto"/>
                <w:szCs w:val="21"/>
                <w:highlight w:val="none"/>
              </w:rPr>
            </w:pPr>
            <w:r>
              <w:rPr>
                <w:rFonts w:hint="eastAsia" w:hAnsi="宋体"/>
                <w:color w:val="auto"/>
                <w:szCs w:val="21"/>
                <w:highlight w:val="none"/>
              </w:rPr>
              <w:t>工作目标及工作思路</w:t>
            </w:r>
          </w:p>
        </w:tc>
        <w:tc>
          <w:tcPr>
            <w:tcW w:w="634" w:type="dxa"/>
            <w:vMerge w:val="restart"/>
            <w:vAlign w:val="center"/>
          </w:tcPr>
          <w:p w14:paraId="133B11E3">
            <w:pPr>
              <w:pStyle w:val="5"/>
              <w:spacing w:line="288" w:lineRule="auto"/>
              <w:jc w:val="center"/>
              <w:rPr>
                <w:rFonts w:hAnsi="宋体"/>
                <w:color w:val="auto"/>
                <w:szCs w:val="21"/>
                <w:highlight w:val="none"/>
              </w:rPr>
            </w:pPr>
            <w:r>
              <w:rPr>
                <w:rFonts w:hAnsi="宋体"/>
                <w:color w:val="auto"/>
                <w:szCs w:val="21"/>
                <w:highlight w:val="none"/>
              </w:rPr>
              <w:t>1</w:t>
            </w:r>
            <w:r>
              <w:rPr>
                <w:rFonts w:hint="eastAsia" w:hAnsi="宋体"/>
                <w:color w:val="auto"/>
                <w:szCs w:val="21"/>
                <w:highlight w:val="none"/>
                <w:lang w:val="en-US" w:eastAsia="zh-CN"/>
              </w:rPr>
              <w:t>5</w:t>
            </w:r>
            <w:r>
              <w:rPr>
                <w:rFonts w:hint="eastAsia" w:hAnsi="宋体"/>
                <w:color w:val="auto"/>
                <w:szCs w:val="21"/>
                <w:highlight w:val="none"/>
              </w:rPr>
              <w:t>分</w:t>
            </w:r>
          </w:p>
        </w:tc>
        <w:tc>
          <w:tcPr>
            <w:tcW w:w="5496" w:type="dxa"/>
            <w:vAlign w:val="center"/>
          </w:tcPr>
          <w:p w14:paraId="51B683E2">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总体思路与本项目工可中的理念、思路基本吻合，可实施性一般，得</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.0分；</w:t>
            </w:r>
          </w:p>
        </w:tc>
      </w:tr>
      <w:tr w14:paraId="5512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14:paraId="79EC0629">
            <w:pPr>
              <w:pStyle w:val="5"/>
              <w:spacing w:line="288" w:lineRule="auto"/>
              <w:jc w:val="center"/>
              <w:rPr>
                <w:rFonts w:hAnsi="宋体"/>
                <w:color w:val="auto"/>
                <w:szCs w:val="21"/>
                <w:highlight w:val="none"/>
              </w:rPr>
            </w:pPr>
          </w:p>
        </w:tc>
        <w:tc>
          <w:tcPr>
            <w:tcW w:w="741" w:type="dxa"/>
            <w:vMerge w:val="continue"/>
          </w:tcPr>
          <w:p w14:paraId="768B1594">
            <w:pPr>
              <w:pStyle w:val="5"/>
              <w:spacing w:line="288" w:lineRule="auto"/>
              <w:jc w:val="center"/>
              <w:rPr>
                <w:rFonts w:hAnsi="宋体"/>
                <w:color w:val="auto"/>
                <w:szCs w:val="21"/>
                <w:highlight w:val="none"/>
              </w:rPr>
            </w:pPr>
          </w:p>
        </w:tc>
        <w:tc>
          <w:tcPr>
            <w:tcW w:w="831" w:type="dxa"/>
            <w:vMerge w:val="continue"/>
          </w:tcPr>
          <w:p w14:paraId="38205D07">
            <w:pPr>
              <w:pStyle w:val="5"/>
              <w:spacing w:line="288" w:lineRule="auto"/>
              <w:jc w:val="center"/>
              <w:rPr>
                <w:rFonts w:hAnsi="宋体"/>
                <w:color w:val="auto"/>
                <w:szCs w:val="21"/>
                <w:highlight w:val="none"/>
              </w:rPr>
            </w:pPr>
          </w:p>
        </w:tc>
        <w:tc>
          <w:tcPr>
            <w:tcW w:w="1209" w:type="dxa"/>
            <w:vMerge w:val="continue"/>
          </w:tcPr>
          <w:p w14:paraId="7221E151">
            <w:pPr>
              <w:pStyle w:val="5"/>
              <w:spacing w:line="288" w:lineRule="auto"/>
              <w:jc w:val="center"/>
              <w:rPr>
                <w:rFonts w:hAnsi="宋体"/>
                <w:color w:val="auto"/>
                <w:szCs w:val="21"/>
                <w:highlight w:val="none"/>
              </w:rPr>
            </w:pPr>
          </w:p>
        </w:tc>
        <w:tc>
          <w:tcPr>
            <w:tcW w:w="634" w:type="dxa"/>
            <w:vMerge w:val="continue"/>
            <w:vAlign w:val="center"/>
          </w:tcPr>
          <w:p w14:paraId="447953C2">
            <w:pPr>
              <w:pStyle w:val="5"/>
              <w:spacing w:line="288" w:lineRule="auto"/>
              <w:jc w:val="center"/>
              <w:rPr>
                <w:rFonts w:hAnsi="宋体"/>
                <w:color w:val="auto"/>
                <w:szCs w:val="21"/>
                <w:highlight w:val="none"/>
              </w:rPr>
            </w:pPr>
          </w:p>
        </w:tc>
        <w:tc>
          <w:tcPr>
            <w:tcW w:w="5496" w:type="dxa"/>
            <w:vAlign w:val="center"/>
          </w:tcPr>
          <w:p w14:paraId="0C1DD801">
            <w:pPr>
              <w:pStyle w:val="5"/>
              <w:spacing w:line="288" w:lineRule="auto"/>
              <w:jc w:val="left"/>
              <w:rPr>
                <w:rFonts w:hAnsi="宋体"/>
                <w:color w:val="auto"/>
                <w:szCs w:val="21"/>
                <w:highlight w:val="none"/>
              </w:rPr>
            </w:pPr>
            <w:r>
              <w:rPr>
                <w:rFonts w:hint="eastAsia" w:hAnsi="宋体"/>
                <w:color w:val="auto"/>
                <w:szCs w:val="21"/>
                <w:highlight w:val="none"/>
              </w:rPr>
              <w:t>总体思路与本项目工可中的理念、思路吻合，可实施性较好，得</w:t>
            </w:r>
            <w:r>
              <w:rPr>
                <w:rFonts w:hint="eastAsia" w:hAnsi="宋体"/>
                <w:color w:val="auto"/>
                <w:szCs w:val="21"/>
                <w:highlight w:val="none"/>
                <w:lang w:val="en-US" w:eastAsia="zh-CN"/>
              </w:rPr>
              <w:t>9</w:t>
            </w:r>
            <w:r>
              <w:rPr>
                <w:rFonts w:hint="eastAsia" w:hAnsi="宋体"/>
                <w:color w:val="auto"/>
                <w:szCs w:val="21"/>
                <w:highlight w:val="none"/>
              </w:rPr>
              <w:t>.1－</w:t>
            </w:r>
            <w:r>
              <w:rPr>
                <w:rFonts w:hint="eastAsia" w:hAnsi="宋体"/>
                <w:color w:val="auto"/>
                <w:szCs w:val="21"/>
                <w:highlight w:val="none"/>
                <w:lang w:val="en-US" w:eastAsia="zh-CN"/>
              </w:rPr>
              <w:t>12</w:t>
            </w:r>
            <w:r>
              <w:rPr>
                <w:rFonts w:hint="eastAsia" w:hAnsi="宋体"/>
                <w:color w:val="auto"/>
                <w:szCs w:val="21"/>
                <w:highlight w:val="none"/>
              </w:rPr>
              <w:t>.0分；</w:t>
            </w:r>
          </w:p>
        </w:tc>
      </w:tr>
      <w:tr w14:paraId="6510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tcPr>
          <w:p w14:paraId="33224B61">
            <w:pPr>
              <w:pStyle w:val="5"/>
              <w:spacing w:line="288" w:lineRule="auto"/>
              <w:jc w:val="center"/>
              <w:rPr>
                <w:rFonts w:hAnsi="宋体"/>
                <w:color w:val="auto"/>
                <w:szCs w:val="21"/>
                <w:highlight w:val="none"/>
              </w:rPr>
            </w:pPr>
          </w:p>
        </w:tc>
        <w:tc>
          <w:tcPr>
            <w:tcW w:w="741" w:type="dxa"/>
            <w:vMerge w:val="continue"/>
          </w:tcPr>
          <w:p w14:paraId="6B2FA222">
            <w:pPr>
              <w:pStyle w:val="5"/>
              <w:spacing w:line="288" w:lineRule="auto"/>
              <w:jc w:val="center"/>
              <w:rPr>
                <w:rFonts w:hAnsi="宋体"/>
                <w:color w:val="auto"/>
                <w:szCs w:val="21"/>
                <w:highlight w:val="none"/>
              </w:rPr>
            </w:pPr>
          </w:p>
        </w:tc>
        <w:tc>
          <w:tcPr>
            <w:tcW w:w="831" w:type="dxa"/>
            <w:vMerge w:val="continue"/>
          </w:tcPr>
          <w:p w14:paraId="71306308">
            <w:pPr>
              <w:pStyle w:val="5"/>
              <w:spacing w:line="288" w:lineRule="auto"/>
              <w:jc w:val="center"/>
              <w:rPr>
                <w:rFonts w:hAnsi="宋体"/>
                <w:color w:val="auto"/>
                <w:szCs w:val="21"/>
                <w:highlight w:val="none"/>
              </w:rPr>
            </w:pPr>
          </w:p>
        </w:tc>
        <w:tc>
          <w:tcPr>
            <w:tcW w:w="1209" w:type="dxa"/>
            <w:vMerge w:val="continue"/>
          </w:tcPr>
          <w:p w14:paraId="5DB94CD3">
            <w:pPr>
              <w:pStyle w:val="5"/>
              <w:spacing w:line="288" w:lineRule="auto"/>
              <w:jc w:val="center"/>
              <w:rPr>
                <w:rFonts w:hAnsi="宋体"/>
                <w:color w:val="auto"/>
                <w:szCs w:val="21"/>
                <w:highlight w:val="none"/>
              </w:rPr>
            </w:pPr>
          </w:p>
        </w:tc>
        <w:tc>
          <w:tcPr>
            <w:tcW w:w="634" w:type="dxa"/>
            <w:vMerge w:val="continue"/>
            <w:vAlign w:val="center"/>
          </w:tcPr>
          <w:p w14:paraId="61E91611">
            <w:pPr>
              <w:pStyle w:val="5"/>
              <w:spacing w:line="288" w:lineRule="auto"/>
              <w:jc w:val="center"/>
              <w:rPr>
                <w:rFonts w:hAnsi="宋体"/>
                <w:color w:val="auto"/>
                <w:szCs w:val="21"/>
                <w:highlight w:val="none"/>
              </w:rPr>
            </w:pPr>
          </w:p>
        </w:tc>
        <w:tc>
          <w:tcPr>
            <w:tcW w:w="5496" w:type="dxa"/>
            <w:vAlign w:val="center"/>
          </w:tcPr>
          <w:p w14:paraId="5CEA3366">
            <w:pPr>
              <w:pStyle w:val="5"/>
              <w:spacing w:line="288" w:lineRule="auto"/>
              <w:jc w:val="left"/>
              <w:rPr>
                <w:rFonts w:hAnsi="宋体"/>
                <w:color w:val="auto"/>
                <w:szCs w:val="21"/>
                <w:highlight w:val="none"/>
              </w:rPr>
            </w:pPr>
            <w:r>
              <w:rPr>
                <w:rFonts w:hint="eastAsia" w:hAnsi="宋体"/>
                <w:color w:val="auto"/>
                <w:szCs w:val="21"/>
                <w:highlight w:val="none"/>
              </w:rPr>
              <w:t>总体思路与本项目工可中的理念、思路高度吻合，可实施性强，得</w:t>
            </w:r>
            <w:r>
              <w:rPr>
                <w:rFonts w:hint="eastAsia" w:hAnsi="宋体"/>
                <w:color w:val="auto"/>
                <w:szCs w:val="21"/>
                <w:highlight w:val="none"/>
                <w:lang w:val="en-US" w:eastAsia="zh-CN"/>
              </w:rPr>
              <w:t>12</w:t>
            </w:r>
            <w:r>
              <w:rPr>
                <w:rFonts w:hint="eastAsia" w:hAnsi="宋体"/>
                <w:color w:val="auto"/>
                <w:szCs w:val="21"/>
                <w:highlight w:val="none"/>
              </w:rPr>
              <w:t>.1－</w:t>
            </w:r>
            <w:r>
              <w:rPr>
                <w:rFonts w:hint="eastAsia" w:hAnsi="宋体"/>
                <w:color w:val="auto"/>
                <w:szCs w:val="21"/>
                <w:highlight w:val="none"/>
                <w:lang w:val="en-US" w:eastAsia="zh-CN"/>
              </w:rPr>
              <w:t>15</w:t>
            </w:r>
            <w:r>
              <w:rPr>
                <w:rFonts w:hint="eastAsia" w:hAnsi="宋体"/>
                <w:color w:val="auto"/>
                <w:szCs w:val="21"/>
                <w:highlight w:val="none"/>
              </w:rPr>
              <w:t>分；</w:t>
            </w:r>
          </w:p>
        </w:tc>
      </w:tr>
      <w:tr w14:paraId="5316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14:paraId="2A99E2BD">
            <w:pPr>
              <w:pStyle w:val="5"/>
              <w:spacing w:line="288" w:lineRule="auto"/>
              <w:jc w:val="center"/>
              <w:rPr>
                <w:rFonts w:hAnsi="宋体"/>
                <w:color w:val="auto"/>
                <w:szCs w:val="21"/>
                <w:highlight w:val="none"/>
              </w:rPr>
            </w:pPr>
          </w:p>
        </w:tc>
        <w:tc>
          <w:tcPr>
            <w:tcW w:w="741" w:type="dxa"/>
            <w:vMerge w:val="continue"/>
          </w:tcPr>
          <w:p w14:paraId="42F2A602">
            <w:pPr>
              <w:pStyle w:val="5"/>
              <w:spacing w:line="288" w:lineRule="auto"/>
              <w:jc w:val="center"/>
              <w:rPr>
                <w:rFonts w:hAnsi="宋体"/>
                <w:color w:val="auto"/>
                <w:szCs w:val="21"/>
                <w:highlight w:val="none"/>
              </w:rPr>
            </w:pPr>
          </w:p>
        </w:tc>
        <w:tc>
          <w:tcPr>
            <w:tcW w:w="831" w:type="dxa"/>
            <w:vMerge w:val="continue"/>
            <w:vAlign w:val="center"/>
          </w:tcPr>
          <w:p w14:paraId="4D58AA5F">
            <w:pPr>
              <w:pStyle w:val="5"/>
              <w:spacing w:line="288" w:lineRule="auto"/>
              <w:jc w:val="center"/>
              <w:rPr>
                <w:rFonts w:hAnsi="宋体"/>
                <w:color w:val="auto"/>
                <w:szCs w:val="21"/>
                <w:highlight w:val="none"/>
              </w:rPr>
            </w:pPr>
          </w:p>
        </w:tc>
        <w:tc>
          <w:tcPr>
            <w:tcW w:w="1209" w:type="dxa"/>
            <w:vMerge w:val="restart"/>
            <w:vAlign w:val="center"/>
          </w:tcPr>
          <w:p w14:paraId="7E2A441D">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各阶段工作主要内容和方法</w:t>
            </w:r>
          </w:p>
        </w:tc>
        <w:tc>
          <w:tcPr>
            <w:tcW w:w="634" w:type="dxa"/>
            <w:vMerge w:val="restart"/>
            <w:vAlign w:val="center"/>
          </w:tcPr>
          <w:p w14:paraId="44F6F2FB">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20</w:t>
            </w:r>
            <w:r>
              <w:rPr>
                <w:rFonts w:hint="eastAsia" w:hAnsi="宋体"/>
                <w:color w:val="auto"/>
                <w:szCs w:val="21"/>
                <w:highlight w:val="none"/>
              </w:rPr>
              <w:t>分</w:t>
            </w:r>
          </w:p>
        </w:tc>
        <w:tc>
          <w:tcPr>
            <w:tcW w:w="5496" w:type="dxa"/>
            <w:vAlign w:val="center"/>
          </w:tcPr>
          <w:p w14:paraId="794340DC">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内容基本齐全，方法基本合理，可实施性一般，得</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.0分；</w:t>
            </w:r>
          </w:p>
        </w:tc>
      </w:tr>
      <w:tr w14:paraId="5E89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14:paraId="05392FA0">
            <w:pPr>
              <w:pStyle w:val="5"/>
              <w:spacing w:line="288" w:lineRule="auto"/>
              <w:jc w:val="center"/>
              <w:rPr>
                <w:rFonts w:hAnsi="宋体"/>
                <w:color w:val="auto"/>
                <w:szCs w:val="21"/>
                <w:highlight w:val="none"/>
              </w:rPr>
            </w:pPr>
          </w:p>
        </w:tc>
        <w:tc>
          <w:tcPr>
            <w:tcW w:w="741" w:type="dxa"/>
            <w:vMerge w:val="continue"/>
          </w:tcPr>
          <w:p w14:paraId="4E34B361">
            <w:pPr>
              <w:pStyle w:val="5"/>
              <w:spacing w:line="288" w:lineRule="auto"/>
              <w:jc w:val="center"/>
              <w:rPr>
                <w:rFonts w:hAnsi="宋体"/>
                <w:color w:val="auto"/>
                <w:szCs w:val="21"/>
                <w:highlight w:val="none"/>
              </w:rPr>
            </w:pPr>
          </w:p>
        </w:tc>
        <w:tc>
          <w:tcPr>
            <w:tcW w:w="831" w:type="dxa"/>
            <w:vMerge w:val="continue"/>
          </w:tcPr>
          <w:p w14:paraId="0BE8009A">
            <w:pPr>
              <w:pStyle w:val="5"/>
              <w:spacing w:line="288" w:lineRule="auto"/>
              <w:jc w:val="center"/>
              <w:rPr>
                <w:rFonts w:hAnsi="宋体"/>
                <w:color w:val="auto"/>
                <w:szCs w:val="21"/>
                <w:highlight w:val="none"/>
              </w:rPr>
            </w:pPr>
          </w:p>
        </w:tc>
        <w:tc>
          <w:tcPr>
            <w:tcW w:w="1209" w:type="dxa"/>
            <w:vMerge w:val="continue"/>
          </w:tcPr>
          <w:p w14:paraId="26245BD3">
            <w:pPr>
              <w:pStyle w:val="5"/>
              <w:spacing w:line="288" w:lineRule="auto"/>
              <w:jc w:val="center"/>
              <w:rPr>
                <w:rFonts w:hAnsi="宋体"/>
                <w:color w:val="auto"/>
                <w:szCs w:val="21"/>
                <w:highlight w:val="none"/>
              </w:rPr>
            </w:pPr>
          </w:p>
        </w:tc>
        <w:tc>
          <w:tcPr>
            <w:tcW w:w="634" w:type="dxa"/>
            <w:vMerge w:val="continue"/>
            <w:vAlign w:val="center"/>
          </w:tcPr>
          <w:p w14:paraId="02CD181B">
            <w:pPr>
              <w:pStyle w:val="5"/>
              <w:spacing w:line="288" w:lineRule="auto"/>
              <w:jc w:val="center"/>
              <w:rPr>
                <w:rFonts w:hAnsi="宋体"/>
                <w:color w:val="auto"/>
                <w:szCs w:val="21"/>
                <w:highlight w:val="none"/>
              </w:rPr>
            </w:pPr>
          </w:p>
        </w:tc>
        <w:tc>
          <w:tcPr>
            <w:tcW w:w="5496" w:type="dxa"/>
            <w:vAlign w:val="center"/>
          </w:tcPr>
          <w:p w14:paraId="793BAD33">
            <w:pPr>
              <w:spacing w:line="288" w:lineRule="auto"/>
              <w:jc w:val="left"/>
              <w:rPr>
                <w:rFonts w:ascii="宋体" w:hAnsi="宋体"/>
                <w:color w:val="auto"/>
                <w:kern w:val="2"/>
                <w:sz w:val="21"/>
                <w:szCs w:val="21"/>
                <w:highlight w:val="none"/>
              </w:rPr>
            </w:pPr>
            <w:r>
              <w:rPr>
                <w:rFonts w:hint="eastAsia" w:ascii="宋体" w:hAnsi="宋体"/>
                <w:color w:val="auto"/>
                <w:sz w:val="21"/>
                <w:szCs w:val="21"/>
                <w:highlight w:val="none"/>
              </w:rPr>
              <w:t>内容较齐全，方法较合理，可实施性较好，得</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.0分；</w:t>
            </w:r>
          </w:p>
        </w:tc>
      </w:tr>
      <w:tr w14:paraId="0868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14:paraId="5CC8AAAB">
            <w:pPr>
              <w:pStyle w:val="5"/>
              <w:spacing w:line="288" w:lineRule="auto"/>
              <w:jc w:val="center"/>
              <w:rPr>
                <w:rFonts w:hAnsi="宋体"/>
                <w:color w:val="auto"/>
                <w:szCs w:val="21"/>
                <w:highlight w:val="none"/>
              </w:rPr>
            </w:pPr>
          </w:p>
        </w:tc>
        <w:tc>
          <w:tcPr>
            <w:tcW w:w="741" w:type="dxa"/>
            <w:vMerge w:val="continue"/>
          </w:tcPr>
          <w:p w14:paraId="1FB43333">
            <w:pPr>
              <w:pStyle w:val="5"/>
              <w:spacing w:line="288" w:lineRule="auto"/>
              <w:jc w:val="center"/>
              <w:rPr>
                <w:rFonts w:hAnsi="宋体"/>
                <w:color w:val="auto"/>
                <w:szCs w:val="21"/>
                <w:highlight w:val="none"/>
              </w:rPr>
            </w:pPr>
          </w:p>
        </w:tc>
        <w:tc>
          <w:tcPr>
            <w:tcW w:w="831" w:type="dxa"/>
            <w:vMerge w:val="continue"/>
          </w:tcPr>
          <w:p w14:paraId="433E2C65">
            <w:pPr>
              <w:pStyle w:val="5"/>
              <w:spacing w:line="288" w:lineRule="auto"/>
              <w:jc w:val="center"/>
              <w:rPr>
                <w:rFonts w:hAnsi="宋体"/>
                <w:color w:val="auto"/>
                <w:szCs w:val="21"/>
                <w:highlight w:val="none"/>
              </w:rPr>
            </w:pPr>
          </w:p>
        </w:tc>
        <w:tc>
          <w:tcPr>
            <w:tcW w:w="1209" w:type="dxa"/>
            <w:vMerge w:val="continue"/>
          </w:tcPr>
          <w:p w14:paraId="5998B084">
            <w:pPr>
              <w:pStyle w:val="5"/>
              <w:spacing w:line="288" w:lineRule="auto"/>
              <w:jc w:val="center"/>
              <w:rPr>
                <w:rFonts w:hAnsi="宋体"/>
                <w:color w:val="auto"/>
                <w:szCs w:val="21"/>
                <w:highlight w:val="none"/>
              </w:rPr>
            </w:pPr>
          </w:p>
        </w:tc>
        <w:tc>
          <w:tcPr>
            <w:tcW w:w="634" w:type="dxa"/>
            <w:vMerge w:val="continue"/>
            <w:vAlign w:val="center"/>
          </w:tcPr>
          <w:p w14:paraId="20AF4005">
            <w:pPr>
              <w:pStyle w:val="5"/>
              <w:spacing w:line="288" w:lineRule="auto"/>
              <w:jc w:val="center"/>
              <w:rPr>
                <w:rFonts w:hAnsi="宋体"/>
                <w:color w:val="auto"/>
                <w:szCs w:val="21"/>
                <w:highlight w:val="none"/>
              </w:rPr>
            </w:pPr>
          </w:p>
        </w:tc>
        <w:tc>
          <w:tcPr>
            <w:tcW w:w="5496" w:type="dxa"/>
            <w:vAlign w:val="center"/>
          </w:tcPr>
          <w:p w14:paraId="1C6B9191">
            <w:pPr>
              <w:spacing w:line="288" w:lineRule="auto"/>
              <w:jc w:val="left"/>
              <w:rPr>
                <w:rFonts w:ascii="宋体" w:hAnsi="宋体"/>
                <w:color w:val="auto"/>
                <w:kern w:val="2"/>
                <w:sz w:val="21"/>
                <w:szCs w:val="21"/>
                <w:highlight w:val="none"/>
              </w:rPr>
            </w:pPr>
            <w:r>
              <w:rPr>
                <w:rFonts w:hint="eastAsia" w:ascii="宋体" w:hAnsi="宋体"/>
                <w:color w:val="auto"/>
                <w:sz w:val="21"/>
                <w:szCs w:val="21"/>
                <w:highlight w:val="none"/>
              </w:rPr>
              <w:t>内容齐全，方法合理、正确，可实施性强，得</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分；</w:t>
            </w:r>
          </w:p>
        </w:tc>
      </w:tr>
      <w:tr w14:paraId="2BE2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1EF283C6">
            <w:pPr>
              <w:pStyle w:val="5"/>
              <w:spacing w:line="288" w:lineRule="auto"/>
              <w:jc w:val="center"/>
              <w:rPr>
                <w:rFonts w:hAnsi="宋体"/>
                <w:color w:val="auto"/>
                <w:szCs w:val="21"/>
                <w:highlight w:val="none"/>
              </w:rPr>
            </w:pPr>
          </w:p>
        </w:tc>
        <w:tc>
          <w:tcPr>
            <w:tcW w:w="741" w:type="dxa"/>
            <w:vMerge w:val="continue"/>
          </w:tcPr>
          <w:p w14:paraId="5A015ADC">
            <w:pPr>
              <w:pStyle w:val="5"/>
              <w:spacing w:line="288" w:lineRule="auto"/>
              <w:jc w:val="center"/>
              <w:rPr>
                <w:rFonts w:hAnsi="宋体"/>
                <w:color w:val="auto"/>
                <w:szCs w:val="21"/>
                <w:highlight w:val="none"/>
              </w:rPr>
            </w:pPr>
          </w:p>
        </w:tc>
        <w:tc>
          <w:tcPr>
            <w:tcW w:w="831" w:type="dxa"/>
            <w:vMerge w:val="continue"/>
            <w:vAlign w:val="center"/>
          </w:tcPr>
          <w:p w14:paraId="18F86DBF">
            <w:pPr>
              <w:pStyle w:val="5"/>
              <w:spacing w:line="288" w:lineRule="auto"/>
              <w:jc w:val="center"/>
              <w:rPr>
                <w:rFonts w:hAnsi="宋体"/>
                <w:color w:val="auto"/>
                <w:szCs w:val="21"/>
                <w:highlight w:val="none"/>
              </w:rPr>
            </w:pPr>
          </w:p>
        </w:tc>
        <w:tc>
          <w:tcPr>
            <w:tcW w:w="1209" w:type="dxa"/>
            <w:vMerge w:val="restart"/>
            <w:vAlign w:val="center"/>
          </w:tcPr>
          <w:p w14:paraId="3E0074E8">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工作的重点、难点以及相应对策分析</w:t>
            </w:r>
          </w:p>
        </w:tc>
        <w:tc>
          <w:tcPr>
            <w:tcW w:w="634" w:type="dxa"/>
            <w:vMerge w:val="restart"/>
            <w:vAlign w:val="center"/>
          </w:tcPr>
          <w:p w14:paraId="5528C18B">
            <w:pPr>
              <w:pStyle w:val="5"/>
              <w:spacing w:line="288" w:lineRule="auto"/>
              <w:jc w:val="center"/>
              <w:rPr>
                <w:rFonts w:hAnsi="宋体"/>
                <w:color w:val="auto"/>
                <w:szCs w:val="21"/>
                <w:highlight w:val="none"/>
              </w:rPr>
            </w:pPr>
            <w:r>
              <w:rPr>
                <w:rFonts w:hAnsi="宋体"/>
                <w:color w:val="auto"/>
                <w:szCs w:val="21"/>
                <w:highlight w:val="none"/>
              </w:rPr>
              <w:t>10</w:t>
            </w:r>
            <w:r>
              <w:rPr>
                <w:rFonts w:hint="eastAsia" w:hAnsi="宋体"/>
                <w:color w:val="auto"/>
                <w:szCs w:val="21"/>
                <w:highlight w:val="none"/>
              </w:rPr>
              <w:t>分</w:t>
            </w:r>
          </w:p>
        </w:tc>
        <w:tc>
          <w:tcPr>
            <w:tcW w:w="5496" w:type="dxa"/>
            <w:vAlign w:val="center"/>
          </w:tcPr>
          <w:p w14:paraId="27449467">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分析一般，对难点、重点把握一般；处理措施基本合理，基本可行，得6.0分；</w:t>
            </w:r>
          </w:p>
        </w:tc>
      </w:tr>
      <w:tr w14:paraId="7951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14:paraId="09144FE0">
            <w:pPr>
              <w:pStyle w:val="5"/>
              <w:spacing w:line="288" w:lineRule="auto"/>
              <w:jc w:val="center"/>
              <w:rPr>
                <w:rFonts w:hAnsi="宋体"/>
                <w:color w:val="auto"/>
                <w:szCs w:val="21"/>
                <w:highlight w:val="none"/>
              </w:rPr>
            </w:pPr>
          </w:p>
        </w:tc>
        <w:tc>
          <w:tcPr>
            <w:tcW w:w="741" w:type="dxa"/>
            <w:vMerge w:val="continue"/>
          </w:tcPr>
          <w:p w14:paraId="5C5B1D49">
            <w:pPr>
              <w:pStyle w:val="5"/>
              <w:spacing w:line="288" w:lineRule="auto"/>
              <w:jc w:val="center"/>
              <w:rPr>
                <w:rFonts w:hAnsi="宋体"/>
                <w:color w:val="auto"/>
                <w:szCs w:val="21"/>
                <w:highlight w:val="none"/>
              </w:rPr>
            </w:pPr>
          </w:p>
        </w:tc>
        <w:tc>
          <w:tcPr>
            <w:tcW w:w="831" w:type="dxa"/>
            <w:vMerge w:val="continue"/>
          </w:tcPr>
          <w:p w14:paraId="486F92D1">
            <w:pPr>
              <w:pStyle w:val="5"/>
              <w:spacing w:line="288" w:lineRule="auto"/>
              <w:jc w:val="center"/>
              <w:rPr>
                <w:rFonts w:hAnsi="宋体"/>
                <w:color w:val="auto"/>
                <w:szCs w:val="21"/>
                <w:highlight w:val="none"/>
              </w:rPr>
            </w:pPr>
          </w:p>
        </w:tc>
        <w:tc>
          <w:tcPr>
            <w:tcW w:w="1209" w:type="dxa"/>
            <w:vMerge w:val="continue"/>
          </w:tcPr>
          <w:p w14:paraId="0EC09619">
            <w:pPr>
              <w:pStyle w:val="5"/>
              <w:spacing w:line="288" w:lineRule="auto"/>
              <w:jc w:val="center"/>
              <w:rPr>
                <w:rFonts w:hAnsi="宋体"/>
                <w:color w:val="auto"/>
                <w:szCs w:val="21"/>
                <w:highlight w:val="none"/>
              </w:rPr>
            </w:pPr>
          </w:p>
        </w:tc>
        <w:tc>
          <w:tcPr>
            <w:tcW w:w="634" w:type="dxa"/>
            <w:vMerge w:val="continue"/>
            <w:vAlign w:val="center"/>
          </w:tcPr>
          <w:p w14:paraId="18F0FE83">
            <w:pPr>
              <w:pStyle w:val="5"/>
              <w:spacing w:line="288" w:lineRule="auto"/>
              <w:jc w:val="center"/>
              <w:rPr>
                <w:rFonts w:hAnsi="宋体"/>
                <w:color w:val="auto"/>
                <w:szCs w:val="21"/>
                <w:highlight w:val="none"/>
              </w:rPr>
            </w:pPr>
          </w:p>
        </w:tc>
        <w:tc>
          <w:tcPr>
            <w:tcW w:w="5496" w:type="dxa"/>
            <w:vAlign w:val="center"/>
          </w:tcPr>
          <w:p w14:paraId="69DBEC9C">
            <w:pPr>
              <w:pStyle w:val="5"/>
              <w:spacing w:line="288" w:lineRule="auto"/>
              <w:jc w:val="left"/>
              <w:rPr>
                <w:rFonts w:hAnsi="宋体"/>
                <w:color w:val="auto"/>
                <w:szCs w:val="21"/>
                <w:highlight w:val="none"/>
              </w:rPr>
            </w:pPr>
            <w:r>
              <w:rPr>
                <w:rFonts w:hint="eastAsia" w:hAnsi="宋体"/>
                <w:color w:val="auto"/>
                <w:szCs w:val="21"/>
                <w:highlight w:val="none"/>
              </w:rPr>
              <w:t>分析较透彻，对难点、重点把握较准确；处理措施合理，可行，得6.1－8.0分；</w:t>
            </w:r>
          </w:p>
        </w:tc>
      </w:tr>
      <w:tr w14:paraId="34BC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14:paraId="26E3DBA1">
            <w:pPr>
              <w:pStyle w:val="5"/>
              <w:spacing w:line="288" w:lineRule="auto"/>
              <w:jc w:val="center"/>
              <w:rPr>
                <w:rFonts w:hAnsi="宋体"/>
                <w:color w:val="auto"/>
                <w:szCs w:val="21"/>
                <w:highlight w:val="none"/>
              </w:rPr>
            </w:pPr>
          </w:p>
        </w:tc>
        <w:tc>
          <w:tcPr>
            <w:tcW w:w="741" w:type="dxa"/>
            <w:vMerge w:val="continue"/>
          </w:tcPr>
          <w:p w14:paraId="11DC7EA3">
            <w:pPr>
              <w:pStyle w:val="5"/>
              <w:spacing w:line="288" w:lineRule="auto"/>
              <w:jc w:val="center"/>
              <w:rPr>
                <w:rFonts w:hAnsi="宋体"/>
                <w:color w:val="auto"/>
                <w:szCs w:val="21"/>
                <w:highlight w:val="none"/>
              </w:rPr>
            </w:pPr>
          </w:p>
        </w:tc>
        <w:tc>
          <w:tcPr>
            <w:tcW w:w="831" w:type="dxa"/>
            <w:vMerge w:val="continue"/>
          </w:tcPr>
          <w:p w14:paraId="19817F10">
            <w:pPr>
              <w:pStyle w:val="5"/>
              <w:spacing w:line="288" w:lineRule="auto"/>
              <w:jc w:val="center"/>
              <w:rPr>
                <w:rFonts w:hAnsi="宋体"/>
                <w:color w:val="auto"/>
                <w:szCs w:val="21"/>
                <w:highlight w:val="none"/>
              </w:rPr>
            </w:pPr>
          </w:p>
        </w:tc>
        <w:tc>
          <w:tcPr>
            <w:tcW w:w="1209" w:type="dxa"/>
            <w:vMerge w:val="continue"/>
          </w:tcPr>
          <w:p w14:paraId="60816BF8">
            <w:pPr>
              <w:pStyle w:val="5"/>
              <w:spacing w:line="288" w:lineRule="auto"/>
              <w:jc w:val="center"/>
              <w:rPr>
                <w:rFonts w:hAnsi="宋体"/>
                <w:color w:val="auto"/>
                <w:szCs w:val="21"/>
                <w:highlight w:val="none"/>
              </w:rPr>
            </w:pPr>
          </w:p>
        </w:tc>
        <w:tc>
          <w:tcPr>
            <w:tcW w:w="634" w:type="dxa"/>
            <w:vMerge w:val="continue"/>
            <w:vAlign w:val="center"/>
          </w:tcPr>
          <w:p w14:paraId="10AD17C2">
            <w:pPr>
              <w:pStyle w:val="5"/>
              <w:spacing w:line="288" w:lineRule="auto"/>
              <w:jc w:val="center"/>
              <w:rPr>
                <w:rFonts w:hAnsi="宋体"/>
                <w:color w:val="auto"/>
                <w:szCs w:val="21"/>
                <w:highlight w:val="none"/>
              </w:rPr>
            </w:pPr>
          </w:p>
        </w:tc>
        <w:tc>
          <w:tcPr>
            <w:tcW w:w="5496" w:type="dxa"/>
            <w:vAlign w:val="center"/>
          </w:tcPr>
          <w:p w14:paraId="62B9E330">
            <w:pPr>
              <w:pStyle w:val="5"/>
              <w:spacing w:line="288" w:lineRule="auto"/>
              <w:jc w:val="left"/>
              <w:rPr>
                <w:rFonts w:hAnsi="宋体"/>
                <w:color w:val="auto"/>
                <w:szCs w:val="21"/>
                <w:highlight w:val="none"/>
              </w:rPr>
            </w:pPr>
            <w:r>
              <w:rPr>
                <w:rFonts w:hint="eastAsia" w:hAnsi="宋体"/>
                <w:color w:val="auto"/>
                <w:szCs w:val="21"/>
                <w:highlight w:val="none"/>
              </w:rPr>
              <w:t>分析透彻，对难点、重点把握准确；处理措施科学合理，有效可行，得8.1－10分；</w:t>
            </w:r>
          </w:p>
        </w:tc>
      </w:tr>
      <w:tr w14:paraId="1539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41" w:type="dxa"/>
            <w:vMerge w:val="continue"/>
            <w:vAlign w:val="center"/>
          </w:tcPr>
          <w:p w14:paraId="1754870B">
            <w:pPr>
              <w:pStyle w:val="5"/>
              <w:spacing w:line="288" w:lineRule="auto"/>
              <w:jc w:val="center"/>
              <w:rPr>
                <w:rFonts w:hAnsi="宋体"/>
                <w:color w:val="auto"/>
                <w:szCs w:val="21"/>
                <w:highlight w:val="none"/>
              </w:rPr>
            </w:pPr>
          </w:p>
        </w:tc>
        <w:tc>
          <w:tcPr>
            <w:tcW w:w="741" w:type="dxa"/>
            <w:vMerge w:val="continue"/>
          </w:tcPr>
          <w:p w14:paraId="08DFC7FF">
            <w:pPr>
              <w:pStyle w:val="5"/>
              <w:spacing w:line="288" w:lineRule="auto"/>
              <w:jc w:val="center"/>
              <w:rPr>
                <w:rFonts w:hAnsi="宋体"/>
                <w:color w:val="auto"/>
                <w:szCs w:val="21"/>
                <w:highlight w:val="none"/>
              </w:rPr>
            </w:pPr>
          </w:p>
        </w:tc>
        <w:tc>
          <w:tcPr>
            <w:tcW w:w="831" w:type="dxa"/>
            <w:vMerge w:val="continue"/>
            <w:vAlign w:val="center"/>
          </w:tcPr>
          <w:p w14:paraId="1F9F2C8F">
            <w:pPr>
              <w:pStyle w:val="5"/>
              <w:spacing w:line="288" w:lineRule="auto"/>
              <w:jc w:val="center"/>
              <w:rPr>
                <w:rFonts w:hAnsi="宋体"/>
                <w:color w:val="auto"/>
                <w:szCs w:val="21"/>
                <w:highlight w:val="none"/>
              </w:rPr>
            </w:pPr>
          </w:p>
        </w:tc>
        <w:tc>
          <w:tcPr>
            <w:tcW w:w="1209" w:type="dxa"/>
            <w:vMerge w:val="restart"/>
            <w:vAlign w:val="center"/>
          </w:tcPr>
          <w:p w14:paraId="5D0378E9">
            <w:pPr>
              <w:pStyle w:val="5"/>
              <w:spacing w:line="288" w:lineRule="auto"/>
              <w:jc w:val="center"/>
              <w:rPr>
                <w:rFonts w:hAnsi="宋体"/>
                <w:color w:val="auto"/>
                <w:szCs w:val="21"/>
                <w:highlight w:val="none"/>
              </w:rPr>
            </w:pPr>
            <w:r>
              <w:rPr>
                <w:rFonts w:hint="eastAsia" w:hAnsi="宋体"/>
                <w:color w:val="auto"/>
                <w:szCs w:val="21"/>
                <w:highlight w:val="none"/>
              </w:rPr>
              <w:t>工作计划安排</w:t>
            </w:r>
          </w:p>
        </w:tc>
        <w:tc>
          <w:tcPr>
            <w:tcW w:w="634" w:type="dxa"/>
            <w:vMerge w:val="restart"/>
            <w:vAlign w:val="center"/>
          </w:tcPr>
          <w:p w14:paraId="3874AB41">
            <w:pPr>
              <w:pStyle w:val="5"/>
              <w:spacing w:line="288" w:lineRule="auto"/>
              <w:jc w:val="center"/>
              <w:rPr>
                <w:rFonts w:hAnsi="宋体"/>
                <w:color w:val="auto"/>
                <w:szCs w:val="21"/>
                <w:highlight w:val="none"/>
              </w:rPr>
            </w:pPr>
            <w:r>
              <w:rPr>
                <w:rFonts w:hAnsi="宋体"/>
                <w:color w:val="auto"/>
                <w:szCs w:val="21"/>
                <w:highlight w:val="none"/>
              </w:rPr>
              <w:t>6</w:t>
            </w:r>
            <w:r>
              <w:rPr>
                <w:rFonts w:hint="eastAsia" w:hAnsi="宋体"/>
                <w:color w:val="auto"/>
                <w:szCs w:val="21"/>
                <w:highlight w:val="none"/>
              </w:rPr>
              <w:t>分</w:t>
            </w:r>
          </w:p>
        </w:tc>
        <w:tc>
          <w:tcPr>
            <w:tcW w:w="5496" w:type="dxa"/>
            <w:vAlign w:val="center"/>
          </w:tcPr>
          <w:p w14:paraId="36842FC2">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工作计划基本合理，得3.</w:t>
            </w:r>
            <w:r>
              <w:rPr>
                <w:rFonts w:ascii="宋体" w:hAnsi="宋体"/>
                <w:color w:val="auto"/>
                <w:sz w:val="21"/>
                <w:szCs w:val="21"/>
                <w:highlight w:val="none"/>
              </w:rPr>
              <w:t>6</w:t>
            </w:r>
            <w:r>
              <w:rPr>
                <w:rFonts w:hint="eastAsia" w:ascii="宋体" w:hAnsi="宋体"/>
                <w:color w:val="auto"/>
                <w:sz w:val="21"/>
                <w:szCs w:val="21"/>
                <w:highlight w:val="none"/>
              </w:rPr>
              <w:t>分；</w:t>
            </w:r>
          </w:p>
        </w:tc>
      </w:tr>
      <w:tr w14:paraId="540F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41" w:type="dxa"/>
            <w:vMerge w:val="continue"/>
          </w:tcPr>
          <w:p w14:paraId="47B345CD">
            <w:pPr>
              <w:pStyle w:val="5"/>
              <w:spacing w:line="288" w:lineRule="auto"/>
              <w:rPr>
                <w:rFonts w:hAnsi="宋体"/>
                <w:color w:val="auto"/>
                <w:szCs w:val="21"/>
                <w:highlight w:val="none"/>
              </w:rPr>
            </w:pPr>
          </w:p>
        </w:tc>
        <w:tc>
          <w:tcPr>
            <w:tcW w:w="741" w:type="dxa"/>
            <w:vMerge w:val="continue"/>
          </w:tcPr>
          <w:p w14:paraId="41D10989">
            <w:pPr>
              <w:pStyle w:val="5"/>
              <w:spacing w:line="288" w:lineRule="auto"/>
              <w:jc w:val="center"/>
              <w:rPr>
                <w:rFonts w:hAnsi="宋体"/>
                <w:color w:val="auto"/>
                <w:szCs w:val="21"/>
                <w:highlight w:val="none"/>
              </w:rPr>
            </w:pPr>
          </w:p>
        </w:tc>
        <w:tc>
          <w:tcPr>
            <w:tcW w:w="831" w:type="dxa"/>
            <w:vMerge w:val="continue"/>
          </w:tcPr>
          <w:p w14:paraId="73504FA9">
            <w:pPr>
              <w:pStyle w:val="5"/>
              <w:spacing w:line="288" w:lineRule="auto"/>
              <w:jc w:val="center"/>
              <w:rPr>
                <w:rFonts w:hAnsi="宋体"/>
                <w:color w:val="auto"/>
                <w:szCs w:val="21"/>
                <w:highlight w:val="none"/>
              </w:rPr>
            </w:pPr>
          </w:p>
        </w:tc>
        <w:tc>
          <w:tcPr>
            <w:tcW w:w="1209" w:type="dxa"/>
            <w:vMerge w:val="continue"/>
          </w:tcPr>
          <w:p w14:paraId="09A42005">
            <w:pPr>
              <w:pStyle w:val="5"/>
              <w:spacing w:line="288" w:lineRule="auto"/>
              <w:jc w:val="center"/>
              <w:rPr>
                <w:rFonts w:hAnsi="宋体"/>
                <w:color w:val="auto"/>
                <w:szCs w:val="21"/>
                <w:highlight w:val="none"/>
              </w:rPr>
            </w:pPr>
          </w:p>
        </w:tc>
        <w:tc>
          <w:tcPr>
            <w:tcW w:w="634" w:type="dxa"/>
            <w:vMerge w:val="continue"/>
            <w:vAlign w:val="center"/>
          </w:tcPr>
          <w:p w14:paraId="27AD3704">
            <w:pPr>
              <w:pStyle w:val="5"/>
              <w:spacing w:line="288" w:lineRule="auto"/>
              <w:jc w:val="center"/>
              <w:rPr>
                <w:rFonts w:hAnsi="宋体"/>
                <w:color w:val="auto"/>
                <w:szCs w:val="21"/>
                <w:highlight w:val="none"/>
              </w:rPr>
            </w:pPr>
          </w:p>
        </w:tc>
        <w:tc>
          <w:tcPr>
            <w:tcW w:w="5496" w:type="dxa"/>
            <w:vAlign w:val="center"/>
          </w:tcPr>
          <w:p w14:paraId="3EE1F705">
            <w:pPr>
              <w:pStyle w:val="5"/>
              <w:spacing w:line="288" w:lineRule="auto"/>
              <w:jc w:val="left"/>
              <w:rPr>
                <w:rFonts w:hAnsi="宋体"/>
                <w:color w:val="auto"/>
                <w:szCs w:val="21"/>
                <w:highlight w:val="none"/>
              </w:rPr>
            </w:pPr>
            <w:r>
              <w:rPr>
                <w:rFonts w:hint="eastAsia" w:hAnsi="宋体"/>
                <w:color w:val="auto"/>
                <w:szCs w:val="21"/>
                <w:highlight w:val="none"/>
              </w:rPr>
              <w:t>工作计划合理，得3.</w:t>
            </w:r>
            <w:r>
              <w:rPr>
                <w:rFonts w:hAnsi="宋体"/>
                <w:color w:val="auto"/>
                <w:szCs w:val="21"/>
                <w:highlight w:val="none"/>
              </w:rPr>
              <w:t>7</w:t>
            </w:r>
            <w:r>
              <w:rPr>
                <w:rFonts w:hint="eastAsia" w:hAnsi="宋体"/>
                <w:color w:val="auto"/>
                <w:szCs w:val="21"/>
                <w:highlight w:val="none"/>
              </w:rPr>
              <w:t>－4.</w:t>
            </w:r>
            <w:r>
              <w:rPr>
                <w:rFonts w:hAnsi="宋体"/>
                <w:color w:val="auto"/>
                <w:szCs w:val="21"/>
                <w:highlight w:val="none"/>
              </w:rPr>
              <w:t>8</w:t>
            </w:r>
            <w:r>
              <w:rPr>
                <w:rFonts w:hint="eastAsia" w:hAnsi="宋体"/>
                <w:color w:val="auto"/>
                <w:szCs w:val="21"/>
                <w:highlight w:val="none"/>
              </w:rPr>
              <w:t>分；</w:t>
            </w:r>
          </w:p>
        </w:tc>
      </w:tr>
      <w:tr w14:paraId="24E1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41" w:type="dxa"/>
            <w:vMerge w:val="continue"/>
          </w:tcPr>
          <w:p w14:paraId="5DAA82FC">
            <w:pPr>
              <w:pStyle w:val="5"/>
              <w:spacing w:line="288" w:lineRule="auto"/>
              <w:rPr>
                <w:rFonts w:hAnsi="宋体"/>
                <w:color w:val="auto"/>
                <w:szCs w:val="21"/>
                <w:highlight w:val="none"/>
              </w:rPr>
            </w:pPr>
          </w:p>
        </w:tc>
        <w:tc>
          <w:tcPr>
            <w:tcW w:w="741" w:type="dxa"/>
            <w:vMerge w:val="continue"/>
          </w:tcPr>
          <w:p w14:paraId="4B2C872C">
            <w:pPr>
              <w:pStyle w:val="5"/>
              <w:spacing w:line="288" w:lineRule="auto"/>
              <w:jc w:val="center"/>
              <w:rPr>
                <w:rFonts w:hAnsi="宋体"/>
                <w:color w:val="auto"/>
                <w:szCs w:val="21"/>
                <w:highlight w:val="none"/>
              </w:rPr>
            </w:pPr>
          </w:p>
        </w:tc>
        <w:tc>
          <w:tcPr>
            <w:tcW w:w="831" w:type="dxa"/>
            <w:vMerge w:val="continue"/>
          </w:tcPr>
          <w:p w14:paraId="785143EB">
            <w:pPr>
              <w:pStyle w:val="5"/>
              <w:spacing w:line="288" w:lineRule="auto"/>
              <w:jc w:val="center"/>
              <w:rPr>
                <w:rFonts w:hAnsi="宋体"/>
                <w:color w:val="auto"/>
                <w:szCs w:val="21"/>
                <w:highlight w:val="none"/>
              </w:rPr>
            </w:pPr>
          </w:p>
        </w:tc>
        <w:tc>
          <w:tcPr>
            <w:tcW w:w="1209" w:type="dxa"/>
            <w:vMerge w:val="continue"/>
          </w:tcPr>
          <w:p w14:paraId="5F06DE6B">
            <w:pPr>
              <w:pStyle w:val="5"/>
              <w:spacing w:line="288" w:lineRule="auto"/>
              <w:jc w:val="center"/>
              <w:rPr>
                <w:rFonts w:hAnsi="宋体"/>
                <w:color w:val="auto"/>
                <w:szCs w:val="21"/>
                <w:highlight w:val="none"/>
              </w:rPr>
            </w:pPr>
          </w:p>
        </w:tc>
        <w:tc>
          <w:tcPr>
            <w:tcW w:w="634" w:type="dxa"/>
            <w:vMerge w:val="continue"/>
            <w:vAlign w:val="center"/>
          </w:tcPr>
          <w:p w14:paraId="55A3C634">
            <w:pPr>
              <w:pStyle w:val="5"/>
              <w:spacing w:line="288" w:lineRule="auto"/>
              <w:jc w:val="center"/>
              <w:rPr>
                <w:rFonts w:hAnsi="宋体"/>
                <w:color w:val="auto"/>
                <w:szCs w:val="21"/>
                <w:highlight w:val="none"/>
              </w:rPr>
            </w:pPr>
          </w:p>
        </w:tc>
        <w:tc>
          <w:tcPr>
            <w:tcW w:w="5496" w:type="dxa"/>
            <w:vAlign w:val="center"/>
          </w:tcPr>
          <w:p w14:paraId="6B50D087">
            <w:pPr>
              <w:pStyle w:val="5"/>
              <w:spacing w:line="288" w:lineRule="auto"/>
              <w:jc w:val="left"/>
              <w:rPr>
                <w:rFonts w:hAnsi="宋体"/>
                <w:color w:val="auto"/>
                <w:szCs w:val="21"/>
                <w:highlight w:val="none"/>
              </w:rPr>
            </w:pPr>
            <w:r>
              <w:rPr>
                <w:rFonts w:hint="eastAsia" w:hAnsi="宋体"/>
                <w:color w:val="auto"/>
                <w:szCs w:val="21"/>
                <w:highlight w:val="none"/>
              </w:rPr>
              <w:t>工作计划科学，安排周密，得4.</w:t>
            </w:r>
            <w:r>
              <w:rPr>
                <w:rFonts w:hAnsi="宋体"/>
                <w:color w:val="auto"/>
                <w:szCs w:val="21"/>
                <w:highlight w:val="none"/>
              </w:rPr>
              <w:t>9</w:t>
            </w:r>
            <w:r>
              <w:rPr>
                <w:rFonts w:hint="eastAsia" w:hAnsi="宋体"/>
                <w:color w:val="auto"/>
                <w:szCs w:val="21"/>
                <w:highlight w:val="none"/>
              </w:rPr>
              <w:t>－</w:t>
            </w:r>
            <w:r>
              <w:rPr>
                <w:rFonts w:hAnsi="宋体"/>
                <w:color w:val="auto"/>
                <w:szCs w:val="21"/>
                <w:highlight w:val="none"/>
              </w:rPr>
              <w:t>6</w:t>
            </w:r>
            <w:r>
              <w:rPr>
                <w:rFonts w:hint="eastAsia" w:hAnsi="宋体"/>
                <w:color w:val="auto"/>
                <w:szCs w:val="21"/>
                <w:highlight w:val="none"/>
              </w:rPr>
              <w:t>分；</w:t>
            </w:r>
          </w:p>
        </w:tc>
      </w:tr>
      <w:tr w14:paraId="3189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1EDFA0BB">
            <w:pPr>
              <w:pStyle w:val="5"/>
              <w:spacing w:line="288" w:lineRule="auto"/>
              <w:jc w:val="center"/>
              <w:rPr>
                <w:rFonts w:hAnsi="宋体"/>
                <w:color w:val="auto"/>
                <w:szCs w:val="21"/>
                <w:highlight w:val="none"/>
              </w:rPr>
            </w:pPr>
          </w:p>
        </w:tc>
        <w:tc>
          <w:tcPr>
            <w:tcW w:w="741" w:type="dxa"/>
            <w:vMerge w:val="continue"/>
            <w:vAlign w:val="center"/>
          </w:tcPr>
          <w:p w14:paraId="719996FB">
            <w:pPr>
              <w:pStyle w:val="5"/>
              <w:spacing w:line="288" w:lineRule="auto"/>
              <w:jc w:val="center"/>
              <w:rPr>
                <w:rFonts w:hAnsi="宋体"/>
                <w:color w:val="auto"/>
                <w:szCs w:val="21"/>
                <w:highlight w:val="none"/>
              </w:rPr>
            </w:pPr>
          </w:p>
        </w:tc>
        <w:tc>
          <w:tcPr>
            <w:tcW w:w="831" w:type="dxa"/>
            <w:vMerge w:val="continue"/>
            <w:vAlign w:val="center"/>
          </w:tcPr>
          <w:p w14:paraId="492FEE5D">
            <w:pPr>
              <w:pStyle w:val="5"/>
              <w:spacing w:line="288" w:lineRule="auto"/>
              <w:jc w:val="center"/>
              <w:rPr>
                <w:rFonts w:hAnsi="宋体"/>
                <w:color w:val="auto"/>
                <w:szCs w:val="21"/>
                <w:highlight w:val="none"/>
              </w:rPr>
            </w:pPr>
          </w:p>
        </w:tc>
        <w:tc>
          <w:tcPr>
            <w:tcW w:w="1209" w:type="dxa"/>
            <w:vMerge w:val="restart"/>
            <w:vAlign w:val="center"/>
          </w:tcPr>
          <w:p w14:paraId="1BC2084C">
            <w:pPr>
              <w:pStyle w:val="5"/>
              <w:spacing w:line="288" w:lineRule="auto"/>
              <w:jc w:val="center"/>
              <w:rPr>
                <w:rFonts w:hAnsi="宋体"/>
                <w:color w:val="auto"/>
                <w:szCs w:val="21"/>
                <w:highlight w:val="none"/>
              </w:rPr>
            </w:pPr>
            <w:r>
              <w:rPr>
                <w:rFonts w:hint="eastAsia" w:hAnsi="宋体"/>
                <w:color w:val="auto"/>
                <w:szCs w:val="21"/>
                <w:highlight w:val="none"/>
              </w:rPr>
              <w:t>工作质量管理措施</w:t>
            </w:r>
          </w:p>
        </w:tc>
        <w:tc>
          <w:tcPr>
            <w:tcW w:w="634" w:type="dxa"/>
            <w:vMerge w:val="restart"/>
            <w:vAlign w:val="center"/>
          </w:tcPr>
          <w:p w14:paraId="0F3E8162">
            <w:pPr>
              <w:pStyle w:val="5"/>
              <w:spacing w:line="288" w:lineRule="auto"/>
              <w:jc w:val="center"/>
              <w:rPr>
                <w:rFonts w:hAnsi="宋体"/>
                <w:color w:val="auto"/>
                <w:szCs w:val="21"/>
                <w:highlight w:val="none"/>
              </w:rPr>
            </w:pPr>
            <w:r>
              <w:rPr>
                <w:rFonts w:hAnsi="宋体"/>
                <w:color w:val="auto"/>
                <w:szCs w:val="21"/>
                <w:highlight w:val="none"/>
              </w:rPr>
              <w:t>6</w:t>
            </w:r>
            <w:r>
              <w:rPr>
                <w:rFonts w:hint="eastAsia" w:hAnsi="宋体"/>
                <w:color w:val="auto"/>
                <w:szCs w:val="21"/>
                <w:highlight w:val="none"/>
              </w:rPr>
              <w:t>分</w:t>
            </w:r>
          </w:p>
        </w:tc>
        <w:tc>
          <w:tcPr>
            <w:tcW w:w="5496" w:type="dxa"/>
            <w:vAlign w:val="center"/>
          </w:tcPr>
          <w:p w14:paraId="284B1BD9">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措施基本全面，可实施性一般，得3.</w:t>
            </w:r>
            <w:r>
              <w:rPr>
                <w:rFonts w:ascii="宋体" w:hAnsi="宋体"/>
                <w:color w:val="auto"/>
                <w:sz w:val="21"/>
                <w:szCs w:val="21"/>
                <w:highlight w:val="none"/>
              </w:rPr>
              <w:t>6</w:t>
            </w:r>
            <w:r>
              <w:rPr>
                <w:rFonts w:hint="eastAsia" w:ascii="宋体" w:hAnsi="宋体"/>
                <w:color w:val="auto"/>
                <w:sz w:val="21"/>
                <w:szCs w:val="21"/>
                <w:highlight w:val="none"/>
              </w:rPr>
              <w:t>分；</w:t>
            </w:r>
          </w:p>
        </w:tc>
      </w:tr>
      <w:tr w14:paraId="7363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14:paraId="3AA231C1">
            <w:pPr>
              <w:pStyle w:val="5"/>
              <w:spacing w:line="288" w:lineRule="auto"/>
              <w:jc w:val="center"/>
              <w:rPr>
                <w:rFonts w:hAnsi="宋体"/>
                <w:color w:val="auto"/>
                <w:szCs w:val="21"/>
                <w:highlight w:val="none"/>
              </w:rPr>
            </w:pPr>
          </w:p>
        </w:tc>
        <w:tc>
          <w:tcPr>
            <w:tcW w:w="741" w:type="dxa"/>
            <w:vMerge w:val="continue"/>
          </w:tcPr>
          <w:p w14:paraId="0C59FB86">
            <w:pPr>
              <w:pStyle w:val="5"/>
              <w:spacing w:line="288" w:lineRule="auto"/>
              <w:rPr>
                <w:rFonts w:hAnsi="宋体"/>
                <w:color w:val="auto"/>
                <w:szCs w:val="21"/>
                <w:highlight w:val="none"/>
              </w:rPr>
            </w:pPr>
          </w:p>
        </w:tc>
        <w:tc>
          <w:tcPr>
            <w:tcW w:w="831" w:type="dxa"/>
            <w:vMerge w:val="continue"/>
          </w:tcPr>
          <w:p w14:paraId="74F86C50">
            <w:pPr>
              <w:pStyle w:val="5"/>
              <w:spacing w:line="288" w:lineRule="auto"/>
              <w:rPr>
                <w:rFonts w:hAnsi="宋体"/>
                <w:color w:val="auto"/>
                <w:szCs w:val="21"/>
                <w:highlight w:val="none"/>
              </w:rPr>
            </w:pPr>
          </w:p>
        </w:tc>
        <w:tc>
          <w:tcPr>
            <w:tcW w:w="1209" w:type="dxa"/>
            <w:vMerge w:val="continue"/>
          </w:tcPr>
          <w:p w14:paraId="3473AB21">
            <w:pPr>
              <w:pStyle w:val="5"/>
              <w:spacing w:line="288" w:lineRule="auto"/>
              <w:jc w:val="center"/>
              <w:rPr>
                <w:rFonts w:hAnsi="宋体"/>
                <w:color w:val="auto"/>
                <w:szCs w:val="21"/>
                <w:highlight w:val="none"/>
              </w:rPr>
            </w:pPr>
          </w:p>
        </w:tc>
        <w:tc>
          <w:tcPr>
            <w:tcW w:w="634" w:type="dxa"/>
            <w:vMerge w:val="continue"/>
            <w:vAlign w:val="center"/>
          </w:tcPr>
          <w:p w14:paraId="4B1C0C26">
            <w:pPr>
              <w:pStyle w:val="5"/>
              <w:spacing w:line="288" w:lineRule="auto"/>
              <w:jc w:val="center"/>
              <w:rPr>
                <w:rFonts w:hAnsi="宋体"/>
                <w:color w:val="auto"/>
                <w:szCs w:val="21"/>
                <w:highlight w:val="none"/>
              </w:rPr>
            </w:pPr>
          </w:p>
        </w:tc>
        <w:tc>
          <w:tcPr>
            <w:tcW w:w="5496" w:type="dxa"/>
            <w:vAlign w:val="center"/>
          </w:tcPr>
          <w:p w14:paraId="2B2811A4">
            <w:pPr>
              <w:spacing w:line="288" w:lineRule="auto"/>
              <w:jc w:val="left"/>
              <w:rPr>
                <w:rFonts w:ascii="宋体" w:hAnsi="宋体"/>
                <w:color w:val="auto"/>
                <w:kern w:val="2"/>
                <w:sz w:val="21"/>
                <w:szCs w:val="21"/>
                <w:highlight w:val="none"/>
              </w:rPr>
            </w:pPr>
            <w:r>
              <w:rPr>
                <w:rFonts w:hint="eastAsia" w:ascii="宋体" w:hAnsi="宋体"/>
                <w:color w:val="auto"/>
                <w:sz w:val="21"/>
                <w:szCs w:val="21"/>
                <w:highlight w:val="none"/>
              </w:rPr>
              <w:t>措施全面，可实施性较好，得3.</w:t>
            </w:r>
            <w:r>
              <w:rPr>
                <w:rFonts w:ascii="宋体" w:hAnsi="宋体"/>
                <w:color w:val="auto"/>
                <w:sz w:val="21"/>
                <w:szCs w:val="21"/>
                <w:highlight w:val="none"/>
              </w:rPr>
              <w:t>7</w:t>
            </w:r>
            <w:r>
              <w:rPr>
                <w:rFonts w:hint="eastAsia" w:ascii="宋体" w:hAnsi="宋体"/>
                <w:color w:val="auto"/>
                <w:sz w:val="21"/>
                <w:szCs w:val="21"/>
                <w:highlight w:val="none"/>
              </w:rPr>
              <w:t>－4.</w:t>
            </w:r>
            <w:r>
              <w:rPr>
                <w:rFonts w:ascii="宋体" w:hAnsi="宋体"/>
                <w:color w:val="auto"/>
                <w:sz w:val="21"/>
                <w:szCs w:val="21"/>
                <w:highlight w:val="none"/>
              </w:rPr>
              <w:t>8</w:t>
            </w:r>
            <w:r>
              <w:rPr>
                <w:rFonts w:hint="eastAsia" w:ascii="宋体" w:hAnsi="宋体"/>
                <w:color w:val="auto"/>
                <w:sz w:val="21"/>
                <w:szCs w:val="21"/>
                <w:highlight w:val="none"/>
              </w:rPr>
              <w:t>分；</w:t>
            </w:r>
          </w:p>
        </w:tc>
      </w:tr>
      <w:tr w14:paraId="400D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Borders>
              <w:bottom w:val="single" w:color="auto" w:sz="4" w:space="0"/>
            </w:tcBorders>
          </w:tcPr>
          <w:p w14:paraId="59C7C4BF">
            <w:pPr>
              <w:pStyle w:val="5"/>
              <w:spacing w:line="288" w:lineRule="auto"/>
              <w:jc w:val="center"/>
              <w:rPr>
                <w:rFonts w:hAnsi="宋体"/>
                <w:color w:val="auto"/>
                <w:szCs w:val="21"/>
                <w:highlight w:val="none"/>
              </w:rPr>
            </w:pPr>
          </w:p>
        </w:tc>
        <w:tc>
          <w:tcPr>
            <w:tcW w:w="741" w:type="dxa"/>
            <w:vMerge w:val="continue"/>
            <w:tcBorders>
              <w:bottom w:val="single" w:color="auto" w:sz="4" w:space="0"/>
            </w:tcBorders>
          </w:tcPr>
          <w:p w14:paraId="5F80CDB7">
            <w:pPr>
              <w:pStyle w:val="5"/>
              <w:spacing w:line="288" w:lineRule="auto"/>
              <w:rPr>
                <w:rFonts w:hAnsi="宋体"/>
                <w:color w:val="auto"/>
                <w:szCs w:val="21"/>
                <w:highlight w:val="none"/>
              </w:rPr>
            </w:pPr>
          </w:p>
        </w:tc>
        <w:tc>
          <w:tcPr>
            <w:tcW w:w="831" w:type="dxa"/>
            <w:vMerge w:val="continue"/>
            <w:tcBorders>
              <w:bottom w:val="single" w:color="auto" w:sz="4" w:space="0"/>
            </w:tcBorders>
          </w:tcPr>
          <w:p w14:paraId="4D262570">
            <w:pPr>
              <w:pStyle w:val="5"/>
              <w:spacing w:line="288" w:lineRule="auto"/>
              <w:rPr>
                <w:rFonts w:hAnsi="宋体"/>
                <w:color w:val="auto"/>
                <w:szCs w:val="21"/>
                <w:highlight w:val="none"/>
              </w:rPr>
            </w:pPr>
          </w:p>
        </w:tc>
        <w:tc>
          <w:tcPr>
            <w:tcW w:w="1209" w:type="dxa"/>
            <w:vMerge w:val="continue"/>
            <w:tcBorders>
              <w:bottom w:val="single" w:color="auto" w:sz="4" w:space="0"/>
            </w:tcBorders>
          </w:tcPr>
          <w:p w14:paraId="2E6A1695">
            <w:pPr>
              <w:pStyle w:val="5"/>
              <w:spacing w:line="288" w:lineRule="auto"/>
              <w:jc w:val="center"/>
              <w:rPr>
                <w:rFonts w:hAnsi="宋体"/>
                <w:color w:val="auto"/>
                <w:szCs w:val="21"/>
                <w:highlight w:val="none"/>
              </w:rPr>
            </w:pPr>
          </w:p>
        </w:tc>
        <w:tc>
          <w:tcPr>
            <w:tcW w:w="634" w:type="dxa"/>
            <w:vMerge w:val="continue"/>
            <w:tcBorders>
              <w:bottom w:val="single" w:color="auto" w:sz="4" w:space="0"/>
            </w:tcBorders>
            <w:vAlign w:val="center"/>
          </w:tcPr>
          <w:p w14:paraId="2C8460EF">
            <w:pPr>
              <w:pStyle w:val="5"/>
              <w:spacing w:line="288" w:lineRule="auto"/>
              <w:jc w:val="center"/>
              <w:rPr>
                <w:rFonts w:hAnsi="宋体"/>
                <w:color w:val="auto"/>
                <w:szCs w:val="21"/>
                <w:highlight w:val="none"/>
              </w:rPr>
            </w:pPr>
          </w:p>
        </w:tc>
        <w:tc>
          <w:tcPr>
            <w:tcW w:w="5496" w:type="dxa"/>
            <w:tcBorders>
              <w:bottom w:val="single" w:color="auto" w:sz="4" w:space="0"/>
            </w:tcBorders>
            <w:vAlign w:val="center"/>
          </w:tcPr>
          <w:p w14:paraId="35E83673">
            <w:pPr>
              <w:spacing w:line="288" w:lineRule="auto"/>
              <w:jc w:val="left"/>
              <w:rPr>
                <w:rFonts w:ascii="宋体" w:hAnsi="宋体"/>
                <w:color w:val="auto"/>
                <w:kern w:val="2"/>
                <w:sz w:val="21"/>
                <w:szCs w:val="21"/>
                <w:highlight w:val="none"/>
              </w:rPr>
            </w:pPr>
            <w:r>
              <w:rPr>
                <w:rFonts w:hint="eastAsia" w:ascii="宋体" w:hAnsi="宋体"/>
                <w:color w:val="auto"/>
                <w:sz w:val="21"/>
                <w:szCs w:val="21"/>
                <w:highlight w:val="none"/>
              </w:rPr>
              <w:t>措施具体全面可靠，可实施性强，得4.</w:t>
            </w: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分；</w:t>
            </w:r>
          </w:p>
        </w:tc>
      </w:tr>
      <w:tr w14:paraId="6CD6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50C4A4BE">
            <w:pPr>
              <w:pStyle w:val="5"/>
              <w:spacing w:line="288" w:lineRule="auto"/>
              <w:jc w:val="center"/>
              <w:rPr>
                <w:rFonts w:hAnsi="宋体"/>
                <w:color w:val="auto"/>
                <w:szCs w:val="21"/>
                <w:highlight w:val="none"/>
              </w:rPr>
            </w:pPr>
            <w:r>
              <w:rPr>
                <w:rFonts w:hint="eastAsia" w:hAnsi="宋体"/>
                <w:color w:val="auto"/>
                <w:szCs w:val="21"/>
                <w:highlight w:val="none"/>
              </w:rPr>
              <w:t>2.2.4（2）</w:t>
            </w:r>
          </w:p>
        </w:tc>
        <w:tc>
          <w:tcPr>
            <w:tcW w:w="741" w:type="dxa"/>
            <w:tcBorders>
              <w:top w:val="single" w:color="auto" w:sz="4" w:space="0"/>
              <w:left w:val="single" w:color="auto" w:sz="4" w:space="0"/>
              <w:bottom w:val="single" w:color="auto" w:sz="4" w:space="0"/>
              <w:right w:val="single" w:color="auto" w:sz="4" w:space="0"/>
            </w:tcBorders>
            <w:vAlign w:val="center"/>
          </w:tcPr>
          <w:p w14:paraId="4EF6093F">
            <w:pPr>
              <w:pStyle w:val="5"/>
              <w:spacing w:line="288" w:lineRule="auto"/>
              <w:jc w:val="center"/>
              <w:rPr>
                <w:rFonts w:hAnsi="宋体"/>
                <w:color w:val="auto"/>
                <w:szCs w:val="21"/>
                <w:highlight w:val="none"/>
              </w:rPr>
            </w:pPr>
            <w:r>
              <w:rPr>
                <w:rFonts w:hint="eastAsia" w:hAnsi="宋体"/>
                <w:color w:val="auto"/>
                <w:szCs w:val="21"/>
                <w:highlight w:val="none"/>
              </w:rPr>
              <w:t>主要人员</w:t>
            </w:r>
          </w:p>
        </w:tc>
        <w:tc>
          <w:tcPr>
            <w:tcW w:w="831" w:type="dxa"/>
            <w:tcBorders>
              <w:top w:val="single" w:color="auto" w:sz="4" w:space="0"/>
              <w:left w:val="single" w:color="auto" w:sz="4" w:space="0"/>
              <w:bottom w:val="single" w:color="auto" w:sz="4" w:space="0"/>
              <w:right w:val="single" w:color="auto" w:sz="4" w:space="0"/>
            </w:tcBorders>
            <w:vAlign w:val="center"/>
          </w:tcPr>
          <w:p w14:paraId="3185B980">
            <w:pPr>
              <w:pStyle w:val="5"/>
              <w:spacing w:line="288" w:lineRule="auto"/>
              <w:jc w:val="center"/>
              <w:rPr>
                <w:rFonts w:hAnsi="宋体"/>
                <w:color w:val="auto"/>
                <w:szCs w:val="21"/>
                <w:highlight w:val="none"/>
              </w:rPr>
            </w:pPr>
            <w:r>
              <w:rPr>
                <w:rFonts w:hAnsi="宋体"/>
                <w:color w:val="auto"/>
                <w:szCs w:val="21"/>
                <w:highlight w:val="none"/>
              </w:rPr>
              <w:t>1</w:t>
            </w:r>
            <w:r>
              <w:rPr>
                <w:rFonts w:hint="eastAsia" w:hAnsi="宋体"/>
                <w:color w:val="auto"/>
                <w:szCs w:val="21"/>
                <w:highlight w:val="none"/>
                <w:lang w:val="en-US" w:eastAsia="zh-CN"/>
              </w:rPr>
              <w:t>0</w:t>
            </w:r>
            <w:r>
              <w:rPr>
                <w:rFonts w:hint="eastAsia" w:hAnsi="宋体"/>
                <w:color w:val="auto"/>
                <w:szCs w:val="21"/>
                <w:highlight w:val="none"/>
              </w:rPr>
              <w:t>分</w:t>
            </w:r>
          </w:p>
        </w:tc>
        <w:tc>
          <w:tcPr>
            <w:tcW w:w="1843" w:type="dxa"/>
            <w:gridSpan w:val="2"/>
            <w:tcBorders>
              <w:top w:val="single" w:color="auto" w:sz="4" w:space="0"/>
              <w:left w:val="single" w:color="auto" w:sz="4" w:space="0"/>
              <w:right w:val="single" w:color="auto" w:sz="4" w:space="0"/>
            </w:tcBorders>
            <w:vAlign w:val="center"/>
          </w:tcPr>
          <w:p w14:paraId="42BABA4C">
            <w:pPr>
              <w:pStyle w:val="5"/>
              <w:spacing w:line="288" w:lineRule="auto"/>
              <w:jc w:val="center"/>
              <w:rPr>
                <w:rFonts w:hAnsi="宋体"/>
                <w:color w:val="auto"/>
                <w:szCs w:val="21"/>
                <w:highlight w:val="none"/>
              </w:rPr>
            </w:pPr>
            <w:r>
              <w:rPr>
                <w:color w:val="auto"/>
                <w:szCs w:val="21"/>
                <w:highlight w:val="none"/>
              </w:rPr>
              <w:t>项目负责人任职资格与业绩</w:t>
            </w:r>
          </w:p>
        </w:tc>
        <w:tc>
          <w:tcPr>
            <w:tcW w:w="5496" w:type="dxa"/>
            <w:tcBorders>
              <w:top w:val="single" w:color="auto" w:sz="4" w:space="0"/>
              <w:left w:val="single" w:color="auto" w:sz="4" w:space="0"/>
              <w:bottom w:val="single" w:color="auto" w:sz="4" w:space="0"/>
              <w:right w:val="single" w:color="auto" w:sz="4" w:space="0"/>
            </w:tcBorders>
            <w:vAlign w:val="center"/>
          </w:tcPr>
          <w:p w14:paraId="22E357F2">
            <w:pPr>
              <w:spacing w:line="288" w:lineRule="auto"/>
              <w:jc w:val="left"/>
              <w:rPr>
                <w:rFonts w:hint="eastAsia" w:ascii="宋体" w:hAnsi="宋体"/>
                <w:color w:val="auto"/>
                <w:kern w:val="28"/>
                <w:sz w:val="21"/>
                <w:szCs w:val="21"/>
                <w:highlight w:val="none"/>
              </w:rPr>
            </w:pPr>
            <w:r>
              <w:rPr>
                <w:rFonts w:hint="eastAsia" w:ascii="宋体" w:hAnsi="宋体"/>
                <w:color w:val="auto"/>
                <w:kern w:val="28"/>
                <w:sz w:val="21"/>
                <w:szCs w:val="21"/>
                <w:highlight w:val="none"/>
              </w:rPr>
              <w:t>满足资格审查条件要求得</w:t>
            </w:r>
            <w:r>
              <w:rPr>
                <w:rFonts w:hint="eastAsia" w:ascii="宋体" w:hAnsi="宋体"/>
                <w:color w:val="auto"/>
                <w:kern w:val="28"/>
                <w:sz w:val="21"/>
                <w:szCs w:val="21"/>
                <w:highlight w:val="none"/>
                <w:lang w:val="en-US" w:eastAsia="zh-CN"/>
              </w:rPr>
              <w:t>6</w:t>
            </w:r>
            <w:r>
              <w:rPr>
                <w:rFonts w:hint="eastAsia" w:ascii="宋体" w:hAnsi="宋体"/>
                <w:color w:val="auto"/>
                <w:kern w:val="28"/>
                <w:sz w:val="21"/>
                <w:szCs w:val="21"/>
                <w:highlight w:val="none"/>
              </w:rPr>
              <w:t>分；每增加一个满足资格审查条件要求的业绩加</w:t>
            </w:r>
            <w:r>
              <w:rPr>
                <w:rFonts w:hint="eastAsia" w:ascii="宋体" w:hAnsi="宋体"/>
                <w:color w:val="auto"/>
                <w:kern w:val="28"/>
                <w:sz w:val="21"/>
                <w:szCs w:val="21"/>
                <w:highlight w:val="none"/>
                <w:lang w:val="en-US" w:eastAsia="zh-CN"/>
              </w:rPr>
              <w:t>2</w:t>
            </w:r>
            <w:r>
              <w:rPr>
                <w:rFonts w:hint="eastAsia" w:ascii="宋体" w:hAnsi="宋体"/>
                <w:color w:val="auto"/>
                <w:kern w:val="28"/>
                <w:sz w:val="21"/>
                <w:szCs w:val="21"/>
                <w:highlight w:val="none"/>
              </w:rPr>
              <w:t>分，最多加</w:t>
            </w:r>
            <w:r>
              <w:rPr>
                <w:rFonts w:hint="eastAsia" w:ascii="宋体" w:hAnsi="宋体"/>
                <w:color w:val="auto"/>
                <w:kern w:val="28"/>
                <w:sz w:val="21"/>
                <w:szCs w:val="21"/>
                <w:highlight w:val="none"/>
                <w:lang w:val="en-US" w:eastAsia="zh-CN"/>
              </w:rPr>
              <w:t>4</w:t>
            </w:r>
            <w:r>
              <w:rPr>
                <w:rFonts w:hint="eastAsia" w:ascii="宋体" w:hAnsi="宋体"/>
                <w:color w:val="auto"/>
                <w:kern w:val="28"/>
                <w:sz w:val="21"/>
                <w:szCs w:val="21"/>
                <w:highlight w:val="none"/>
              </w:rPr>
              <w:t>分。</w:t>
            </w:r>
          </w:p>
        </w:tc>
      </w:tr>
      <w:tr w14:paraId="4B85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4DBE4B1D">
            <w:pPr>
              <w:pStyle w:val="5"/>
              <w:spacing w:line="288" w:lineRule="auto"/>
              <w:jc w:val="center"/>
              <w:rPr>
                <w:rFonts w:hAnsi="宋体"/>
                <w:color w:val="auto"/>
                <w:szCs w:val="21"/>
                <w:highlight w:val="none"/>
              </w:rPr>
            </w:pPr>
            <w:r>
              <w:rPr>
                <w:rFonts w:hint="eastAsia" w:hAnsi="宋体"/>
                <w:color w:val="auto"/>
                <w:szCs w:val="21"/>
                <w:highlight w:val="none"/>
              </w:rPr>
              <w:t>2.2.4（3）</w:t>
            </w:r>
          </w:p>
        </w:tc>
        <w:tc>
          <w:tcPr>
            <w:tcW w:w="741" w:type="dxa"/>
            <w:tcBorders>
              <w:top w:val="single" w:color="auto" w:sz="4" w:space="0"/>
              <w:left w:val="single" w:color="auto" w:sz="4" w:space="0"/>
              <w:bottom w:val="single" w:color="auto" w:sz="4" w:space="0"/>
              <w:right w:val="single" w:color="auto" w:sz="4" w:space="0"/>
            </w:tcBorders>
            <w:vAlign w:val="center"/>
          </w:tcPr>
          <w:p w14:paraId="47982A80">
            <w:pPr>
              <w:pStyle w:val="5"/>
              <w:spacing w:line="288" w:lineRule="auto"/>
              <w:jc w:val="center"/>
              <w:rPr>
                <w:rFonts w:hAnsi="宋体"/>
                <w:color w:val="auto"/>
                <w:szCs w:val="21"/>
                <w:highlight w:val="none"/>
              </w:rPr>
            </w:pPr>
            <w:r>
              <w:rPr>
                <w:rFonts w:hint="eastAsia" w:hAnsi="宋体"/>
                <w:color w:val="auto"/>
                <w:szCs w:val="21"/>
                <w:highlight w:val="none"/>
              </w:rPr>
              <w:t>评标价</w:t>
            </w:r>
          </w:p>
        </w:tc>
        <w:tc>
          <w:tcPr>
            <w:tcW w:w="831" w:type="dxa"/>
            <w:tcBorders>
              <w:top w:val="single" w:color="auto" w:sz="4" w:space="0"/>
              <w:left w:val="single" w:color="auto" w:sz="4" w:space="0"/>
              <w:bottom w:val="single" w:color="auto" w:sz="4" w:space="0"/>
              <w:right w:val="single" w:color="auto" w:sz="4" w:space="0"/>
            </w:tcBorders>
            <w:vAlign w:val="center"/>
          </w:tcPr>
          <w:p w14:paraId="5104EAFF">
            <w:pPr>
              <w:pStyle w:val="5"/>
              <w:spacing w:line="288" w:lineRule="auto"/>
              <w:jc w:val="center"/>
              <w:rPr>
                <w:rFonts w:hAnsi="宋体"/>
                <w:color w:val="auto"/>
                <w:szCs w:val="21"/>
                <w:highlight w:val="none"/>
              </w:rPr>
            </w:pPr>
            <w:r>
              <w:rPr>
                <w:rFonts w:hint="eastAsia" w:hAnsi="宋体"/>
                <w:color w:val="auto"/>
                <w:szCs w:val="21"/>
                <w:highlight w:val="none"/>
              </w:rPr>
              <w:t>10分</w:t>
            </w:r>
          </w:p>
        </w:tc>
        <w:tc>
          <w:tcPr>
            <w:tcW w:w="7339" w:type="dxa"/>
            <w:gridSpan w:val="3"/>
            <w:tcBorders>
              <w:top w:val="single" w:color="auto" w:sz="4" w:space="0"/>
              <w:left w:val="single" w:color="auto" w:sz="4" w:space="0"/>
              <w:bottom w:val="single" w:color="auto" w:sz="4" w:space="0"/>
              <w:right w:val="single" w:color="auto" w:sz="4" w:space="0"/>
            </w:tcBorders>
            <w:vAlign w:val="center"/>
          </w:tcPr>
          <w:p w14:paraId="14DC8FC7">
            <w:pPr>
              <w:spacing w:line="288" w:lineRule="auto"/>
              <w:jc w:val="left"/>
              <w:rPr>
                <w:rFonts w:hint="eastAsia" w:ascii="宋体" w:hAnsi="宋体"/>
                <w:color w:val="auto"/>
                <w:kern w:val="28"/>
                <w:sz w:val="21"/>
                <w:szCs w:val="21"/>
                <w:highlight w:val="none"/>
              </w:rPr>
            </w:pPr>
            <w:r>
              <w:rPr>
                <w:rFonts w:hint="eastAsia" w:ascii="宋体" w:hAnsi="宋体"/>
                <w:color w:val="auto"/>
                <w:kern w:val="28"/>
                <w:sz w:val="21"/>
                <w:szCs w:val="21"/>
                <w:highlight w:val="none"/>
              </w:rPr>
              <w:t>评标价得分计算公式示例：</w:t>
            </w:r>
          </w:p>
          <w:p w14:paraId="70898E26">
            <w:pPr>
              <w:spacing w:line="288" w:lineRule="auto"/>
              <w:jc w:val="left"/>
              <w:rPr>
                <w:rFonts w:hint="eastAsia" w:ascii="宋体" w:hAnsi="宋体"/>
                <w:color w:val="auto"/>
                <w:kern w:val="28"/>
                <w:sz w:val="21"/>
                <w:szCs w:val="21"/>
                <w:highlight w:val="none"/>
              </w:rPr>
            </w:pPr>
            <w:r>
              <w:rPr>
                <w:rFonts w:hint="eastAsia" w:ascii="宋体" w:hAnsi="宋体"/>
                <w:color w:val="auto"/>
                <w:kern w:val="28"/>
                <w:sz w:val="21"/>
                <w:szCs w:val="21"/>
                <w:highlight w:val="none"/>
              </w:rPr>
              <w:t>（1）如果投标人的评标价＞评标基准价，则评标价得分=F-（投标人评标价-评标基准价）/评标基准价×100×E1；</w:t>
            </w:r>
          </w:p>
          <w:p w14:paraId="152B3272">
            <w:pPr>
              <w:spacing w:line="288" w:lineRule="auto"/>
              <w:jc w:val="left"/>
              <w:rPr>
                <w:rFonts w:hint="eastAsia" w:ascii="宋体" w:hAnsi="宋体"/>
                <w:color w:val="auto"/>
                <w:kern w:val="28"/>
                <w:sz w:val="21"/>
                <w:szCs w:val="21"/>
                <w:highlight w:val="none"/>
              </w:rPr>
            </w:pPr>
            <w:r>
              <w:rPr>
                <w:rFonts w:hint="eastAsia" w:ascii="宋体" w:hAnsi="宋体"/>
                <w:color w:val="auto"/>
                <w:kern w:val="28"/>
                <w:sz w:val="21"/>
                <w:szCs w:val="21"/>
                <w:highlight w:val="none"/>
              </w:rPr>
              <w:t>（2）如果投标人的评标价≤评标基准价，则评标价得分=F+(投标人评标价-评标基准价)/评标基准价×100×E2。</w:t>
            </w:r>
          </w:p>
          <w:p w14:paraId="6E6C8B78">
            <w:pPr>
              <w:spacing w:line="288" w:lineRule="auto"/>
              <w:jc w:val="left"/>
              <w:rPr>
                <w:rFonts w:hint="eastAsia" w:ascii="宋体" w:hAnsi="宋体"/>
                <w:color w:val="auto"/>
                <w:kern w:val="28"/>
                <w:sz w:val="21"/>
                <w:szCs w:val="21"/>
                <w:highlight w:val="none"/>
              </w:rPr>
            </w:pPr>
            <w:r>
              <w:rPr>
                <w:rFonts w:hint="eastAsia" w:ascii="宋体" w:hAnsi="宋体"/>
                <w:color w:val="auto"/>
                <w:sz w:val="21"/>
                <w:szCs w:val="21"/>
                <w:highlight w:val="none"/>
              </w:rPr>
              <w:t>其中，F=10；E1=0.2；E2=0.1；评标价最低得分为0分。</w:t>
            </w:r>
          </w:p>
        </w:tc>
      </w:tr>
      <w:tr w14:paraId="6942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41" w:type="dxa"/>
            <w:tcBorders>
              <w:top w:val="single" w:color="auto" w:sz="4" w:space="0"/>
              <w:left w:val="single" w:color="auto" w:sz="4" w:space="0"/>
              <w:right w:val="single" w:color="auto" w:sz="4" w:space="0"/>
            </w:tcBorders>
            <w:vAlign w:val="center"/>
          </w:tcPr>
          <w:p w14:paraId="2F17818D">
            <w:pPr>
              <w:pStyle w:val="5"/>
              <w:spacing w:line="288" w:lineRule="auto"/>
              <w:jc w:val="center"/>
              <w:rPr>
                <w:rFonts w:hAnsi="宋体"/>
                <w:color w:val="auto"/>
                <w:szCs w:val="21"/>
                <w:highlight w:val="none"/>
              </w:rPr>
            </w:pPr>
            <w:r>
              <w:rPr>
                <w:rFonts w:hint="eastAsia" w:hAnsi="宋体"/>
                <w:color w:val="auto"/>
                <w:szCs w:val="21"/>
                <w:highlight w:val="none"/>
              </w:rPr>
              <w:t>2.2.4（4）</w:t>
            </w:r>
          </w:p>
        </w:tc>
        <w:tc>
          <w:tcPr>
            <w:tcW w:w="741" w:type="dxa"/>
            <w:tcBorders>
              <w:top w:val="single" w:color="auto" w:sz="4" w:space="0"/>
              <w:left w:val="single" w:color="auto" w:sz="4" w:space="0"/>
              <w:right w:val="single" w:color="auto" w:sz="4" w:space="0"/>
            </w:tcBorders>
            <w:vAlign w:val="center"/>
          </w:tcPr>
          <w:p w14:paraId="6AA1A0BF">
            <w:pPr>
              <w:pStyle w:val="5"/>
              <w:spacing w:line="288" w:lineRule="auto"/>
              <w:jc w:val="center"/>
              <w:rPr>
                <w:rFonts w:hAnsi="宋体"/>
                <w:color w:val="auto"/>
                <w:szCs w:val="21"/>
                <w:highlight w:val="none"/>
              </w:rPr>
            </w:pPr>
            <w:r>
              <w:rPr>
                <w:rFonts w:hint="eastAsia" w:hAnsi="宋体"/>
                <w:color w:val="auto"/>
                <w:szCs w:val="21"/>
                <w:highlight w:val="none"/>
              </w:rPr>
              <w:t>其他因素</w:t>
            </w:r>
          </w:p>
        </w:tc>
        <w:tc>
          <w:tcPr>
            <w:tcW w:w="831" w:type="dxa"/>
            <w:tcBorders>
              <w:top w:val="single" w:color="auto" w:sz="4" w:space="0"/>
              <w:left w:val="single" w:color="auto" w:sz="4" w:space="0"/>
              <w:right w:val="single" w:color="auto" w:sz="4" w:space="0"/>
            </w:tcBorders>
            <w:vAlign w:val="center"/>
          </w:tcPr>
          <w:p w14:paraId="13853FD4">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1</w:t>
            </w:r>
            <w:r>
              <w:rPr>
                <w:rFonts w:hAnsi="宋体"/>
                <w:color w:val="auto"/>
                <w:szCs w:val="21"/>
                <w:highlight w:val="none"/>
              </w:rPr>
              <w:t>5分</w:t>
            </w:r>
          </w:p>
        </w:tc>
        <w:tc>
          <w:tcPr>
            <w:tcW w:w="1843" w:type="dxa"/>
            <w:gridSpan w:val="2"/>
            <w:tcBorders>
              <w:top w:val="single" w:color="auto" w:sz="4" w:space="0"/>
              <w:left w:val="single" w:color="auto" w:sz="4" w:space="0"/>
              <w:right w:val="single" w:color="auto" w:sz="4" w:space="0"/>
            </w:tcBorders>
            <w:vAlign w:val="center"/>
          </w:tcPr>
          <w:p w14:paraId="41E99B54">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企业</w:t>
            </w:r>
            <w:r>
              <w:rPr>
                <w:rFonts w:hint="eastAsia" w:hAnsi="宋体"/>
                <w:color w:val="auto"/>
                <w:szCs w:val="21"/>
                <w:highlight w:val="none"/>
              </w:rPr>
              <w:t>业绩</w:t>
            </w:r>
          </w:p>
        </w:tc>
        <w:tc>
          <w:tcPr>
            <w:tcW w:w="5496" w:type="dxa"/>
            <w:tcBorders>
              <w:top w:val="single" w:color="auto" w:sz="4" w:space="0"/>
              <w:left w:val="single" w:color="auto" w:sz="4" w:space="0"/>
              <w:bottom w:val="single" w:color="auto" w:sz="4" w:space="0"/>
              <w:right w:val="single" w:color="auto" w:sz="4" w:space="0"/>
            </w:tcBorders>
            <w:vAlign w:val="center"/>
          </w:tcPr>
          <w:p w14:paraId="3D6BAEF0">
            <w:pPr>
              <w:spacing w:line="288" w:lineRule="auto"/>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满足资格审查条件要求（业绩最低要求）得</w:t>
            </w:r>
            <w:r>
              <w:rPr>
                <w:rFonts w:hint="eastAsia" w:ascii="宋体" w:hAnsi="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分；</w:t>
            </w:r>
          </w:p>
          <w:p w14:paraId="70160B34">
            <w:pPr>
              <w:spacing w:line="288" w:lineRule="auto"/>
              <w:rPr>
                <w:highlight w:val="none"/>
              </w:rPr>
            </w:pPr>
            <w:r>
              <w:rPr>
                <w:rFonts w:hint="eastAsia" w:ascii="宋体" w:hAnsi="宋体"/>
                <w:color w:val="auto"/>
                <w:sz w:val="21"/>
                <w:szCs w:val="21"/>
                <w:highlight w:val="none"/>
              </w:rPr>
              <w:t>每增加1个满足资格审查条件要求（业绩最低要求）的业绩，加</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分，最多加</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分。</w:t>
            </w:r>
          </w:p>
        </w:tc>
      </w:tr>
    </w:tbl>
    <w:p w14:paraId="79547A02">
      <w:pPr>
        <w:pStyle w:val="5"/>
        <w:ind w:firstLine="0" w:firstLineChars="0"/>
        <w:rPr>
          <w:rFonts w:hint="eastAsia" w:hAnsi="宋体"/>
          <w:b/>
          <w:bCs/>
          <w:color w:val="auto"/>
          <w:szCs w:val="21"/>
          <w:highlight w:val="none"/>
        </w:rPr>
      </w:pPr>
    </w:p>
    <w:p w14:paraId="43D359A2">
      <w:pPr>
        <w:pStyle w:val="5"/>
        <w:ind w:firstLine="0" w:firstLineChars="0"/>
        <w:jc w:val="center"/>
        <w:rPr>
          <w:rFonts w:hAnsi="宋体"/>
          <w:color w:val="auto"/>
          <w:highlight w:val="none"/>
        </w:rPr>
      </w:pPr>
      <w:r>
        <w:rPr>
          <w:rFonts w:hint="eastAsia" w:hAnsi="宋体"/>
          <w:b/>
          <w:bCs/>
          <w:color w:val="auto"/>
          <w:szCs w:val="21"/>
          <w:highlight w:val="none"/>
        </w:rPr>
        <w:t>注：1、评委打分保留一位小数。2、各评分因素得分应以评标委员会各成员的打分平均值确定，汇总得分保留2位小数。3、技术建议书</w:t>
      </w:r>
      <w:r>
        <w:rPr>
          <w:rFonts w:hint="eastAsia" w:hAnsi="宋体"/>
          <w:b/>
          <w:bCs/>
          <w:color w:val="auto"/>
          <w:szCs w:val="21"/>
          <w:highlight w:val="none"/>
          <w:lang w:val="en-US" w:eastAsia="zh-CN"/>
        </w:rPr>
        <w:t>如有</w:t>
      </w:r>
      <w:r>
        <w:rPr>
          <w:rFonts w:hint="eastAsia" w:hAnsi="宋体"/>
          <w:b/>
          <w:bCs/>
          <w:color w:val="auto"/>
          <w:szCs w:val="21"/>
          <w:highlight w:val="none"/>
        </w:rPr>
        <w:t>缺项，则该项得0分</w:t>
      </w:r>
      <w:r>
        <w:rPr>
          <w:rFonts w:hint="eastAsia" w:hAnsi="宋体"/>
          <w:color w:val="auto"/>
          <w:szCs w:val="21"/>
          <w:highlight w:val="none"/>
        </w:rPr>
        <w:t>。</w:t>
      </w:r>
      <w:bookmarkEnd w:id="14"/>
    </w:p>
    <w:sectPr>
      <w:pgSz w:w="11907" w:h="16839"/>
      <w:pgMar w:top="1417" w:right="1644" w:bottom="1417" w:left="1644" w:header="1387" w:footer="1179"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2JmMTU5OTRiM2QyOTg1MzY5YTk1YzYwNzc0ZmEifQ=="/>
  </w:docVars>
  <w:rsids>
    <w:rsidRoot w:val="00000000"/>
    <w:rsid w:val="003D6656"/>
    <w:rsid w:val="014F03EF"/>
    <w:rsid w:val="022E44A8"/>
    <w:rsid w:val="0410030A"/>
    <w:rsid w:val="132711CC"/>
    <w:rsid w:val="40213547"/>
    <w:rsid w:val="45BE17A7"/>
    <w:rsid w:val="57652D66"/>
    <w:rsid w:val="5AD52888"/>
    <w:rsid w:val="5ADD4DFB"/>
    <w:rsid w:val="5ECA1FD8"/>
    <w:rsid w:val="67B101D9"/>
    <w:rsid w:val="6C5F6456"/>
    <w:rsid w:val="7CAA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kern w:val="2"/>
      <w:szCs w:val="24"/>
    </w:rPr>
  </w:style>
  <w:style w:type="paragraph" w:styleId="5">
    <w:name w:val="Plain Text"/>
    <w:basedOn w:val="1"/>
    <w:qFormat/>
    <w:uiPriority w:val="99"/>
    <w:rPr>
      <w:rFonts w:ascii="宋体" w:hAnsi="Courier New"/>
      <w:kern w:val="2"/>
      <w:sz w:val="21"/>
    </w:rPr>
  </w:style>
  <w:style w:type="paragraph" w:customStyle="1" w:styleId="8">
    <w:name w:val="样式54"/>
    <w:basedOn w:val="3"/>
    <w:autoRedefine/>
    <w:qFormat/>
    <w:uiPriority w:val="0"/>
    <w:pPr>
      <w:spacing w:before="0" w:after="0" w:line="360" w:lineRule="auto"/>
      <w:jc w:val="center"/>
    </w:pPr>
  </w:style>
  <w:style w:type="paragraph" w:customStyle="1" w:styleId="9">
    <w:name w:val="样式55"/>
    <w:basedOn w:val="4"/>
    <w:autoRedefine/>
    <w:qFormat/>
    <w:uiPriority w:val="0"/>
    <w:pPr>
      <w:spacing w:before="0" w:after="0" w:line="360" w:lineRule="auto"/>
    </w:pPr>
    <w:rPr>
      <w:sz w:val="28"/>
    </w:rPr>
  </w:style>
  <w:style w:type="character" w:customStyle="1" w:styleId="10">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3359</Words>
  <Characters>3575</Characters>
  <Lines>0</Lines>
  <Paragraphs>0</Paragraphs>
  <TotalTime>1</TotalTime>
  <ScaleCrop>false</ScaleCrop>
  <LinksUpToDate>false</LinksUpToDate>
  <CharactersWithSpaces>3581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2024-07-24T01:15:43Z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C0799145789247568F1E5103A4879B8E_12</vt:lpwstr>
  </property>
</Properties>
</file>